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156F" w:rsidRDefault="009A156F" w:rsidP="009A156F">
      <w:pPr>
        <w:widowControl w:val="0"/>
        <w:autoSpaceDE w:val="0"/>
        <w:autoSpaceDN w:val="0"/>
        <w:adjustRightInd w:val="0"/>
        <w:spacing w:after="200" w:line="276" w:lineRule="auto"/>
        <w:jc w:val="center"/>
        <w:rPr>
          <w:rFonts w:ascii="Times New Roman" w:eastAsia="Times New Roman" w:hAnsi="Times New Roman" w:cs="Times New Roman"/>
          <w:b/>
          <w:lang w:eastAsia="ru-RU"/>
        </w:rPr>
      </w:pPr>
    </w:p>
    <w:p w:rsidR="009A156F" w:rsidRDefault="009A156F" w:rsidP="009A156F">
      <w:pPr>
        <w:widowControl w:val="0"/>
        <w:autoSpaceDE w:val="0"/>
        <w:autoSpaceDN w:val="0"/>
        <w:adjustRightInd w:val="0"/>
        <w:spacing w:after="200" w:line="276" w:lineRule="auto"/>
        <w:jc w:val="center"/>
        <w:rPr>
          <w:rFonts w:ascii="Times New Roman" w:eastAsia="Times New Roman" w:hAnsi="Times New Roman" w:cs="Times New Roman"/>
          <w:b/>
          <w:lang w:eastAsia="ru-RU"/>
        </w:rPr>
      </w:pPr>
    </w:p>
    <w:p w:rsidR="009A156F" w:rsidRDefault="009A156F" w:rsidP="009A156F">
      <w:pPr>
        <w:widowControl w:val="0"/>
        <w:autoSpaceDE w:val="0"/>
        <w:autoSpaceDN w:val="0"/>
        <w:adjustRightInd w:val="0"/>
        <w:spacing w:after="200" w:line="276" w:lineRule="auto"/>
        <w:jc w:val="center"/>
        <w:rPr>
          <w:rFonts w:ascii="Times New Roman" w:eastAsia="Times New Roman" w:hAnsi="Times New Roman" w:cs="Times New Roman"/>
          <w:b/>
          <w:lang w:eastAsia="ru-RU"/>
        </w:rPr>
      </w:pPr>
    </w:p>
    <w:p w:rsidR="009A156F" w:rsidRDefault="009A156F" w:rsidP="009A156F">
      <w:pPr>
        <w:widowControl w:val="0"/>
        <w:autoSpaceDE w:val="0"/>
        <w:autoSpaceDN w:val="0"/>
        <w:adjustRightInd w:val="0"/>
        <w:spacing w:after="200" w:line="276" w:lineRule="auto"/>
        <w:jc w:val="center"/>
        <w:rPr>
          <w:rFonts w:ascii="Times New Roman" w:eastAsia="Times New Roman" w:hAnsi="Times New Roman" w:cs="Times New Roman"/>
          <w:b/>
          <w:lang w:eastAsia="ru-RU"/>
        </w:rPr>
      </w:pPr>
    </w:p>
    <w:p w:rsidR="009A156F" w:rsidRDefault="009A156F" w:rsidP="009A156F">
      <w:pPr>
        <w:spacing w:after="0" w:line="240" w:lineRule="auto"/>
        <w:ind w:left="4536"/>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Утверждена</w:t>
      </w:r>
    </w:p>
    <w:p w:rsidR="009A156F" w:rsidRDefault="009A156F" w:rsidP="009A156F">
      <w:pPr>
        <w:spacing w:after="0" w:line="240" w:lineRule="auto"/>
        <w:ind w:left="4536"/>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постановлением Администрации</w:t>
      </w:r>
    </w:p>
    <w:p w:rsidR="009A156F" w:rsidRDefault="009A156F" w:rsidP="009A156F">
      <w:pPr>
        <w:spacing w:after="0" w:line="240" w:lineRule="auto"/>
        <w:ind w:left="4536"/>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Тере-Хольского кожууна</w:t>
      </w:r>
    </w:p>
    <w:p w:rsidR="009A156F" w:rsidRDefault="00857BE0" w:rsidP="009A156F">
      <w:pPr>
        <w:spacing w:after="0" w:line="240" w:lineRule="auto"/>
        <w:ind w:left="4536"/>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 «12» ноября 2021</w:t>
      </w:r>
      <w:r w:rsidR="009A156F">
        <w:rPr>
          <w:rFonts w:ascii="Times New Roman" w:eastAsia="Times New Roman" w:hAnsi="Times New Roman" w:cs="Times New Roman"/>
          <w:sz w:val="26"/>
          <w:szCs w:val="26"/>
          <w:lang w:eastAsia="ru-RU"/>
        </w:rPr>
        <w:t xml:space="preserve"> года № ___</w:t>
      </w:r>
    </w:p>
    <w:p w:rsidR="009A156F" w:rsidRDefault="009A156F" w:rsidP="009A156F">
      <w:pPr>
        <w:spacing w:after="0" w:line="240" w:lineRule="auto"/>
        <w:jc w:val="both"/>
        <w:rPr>
          <w:rFonts w:ascii="Times New Roman" w:eastAsia="Times New Roman" w:hAnsi="Times New Roman" w:cs="Times New Roman"/>
          <w:sz w:val="32"/>
          <w:szCs w:val="32"/>
          <w:lang w:eastAsia="ru-RU"/>
        </w:rPr>
      </w:pPr>
    </w:p>
    <w:p w:rsidR="009A156F" w:rsidRDefault="009A156F" w:rsidP="009A156F">
      <w:pPr>
        <w:spacing w:after="0" w:line="240" w:lineRule="auto"/>
        <w:jc w:val="center"/>
        <w:rPr>
          <w:rFonts w:ascii="Times New Roman" w:eastAsia="Times New Roman" w:hAnsi="Times New Roman" w:cs="Times New Roman"/>
          <w:b/>
          <w:sz w:val="32"/>
          <w:szCs w:val="32"/>
          <w:lang w:eastAsia="ru-RU"/>
        </w:rPr>
      </w:pPr>
    </w:p>
    <w:p w:rsidR="009A156F" w:rsidRDefault="009A156F" w:rsidP="009A156F">
      <w:pPr>
        <w:spacing w:after="0" w:line="240" w:lineRule="auto"/>
        <w:jc w:val="center"/>
        <w:rPr>
          <w:rFonts w:ascii="Times New Roman" w:eastAsia="Times New Roman" w:hAnsi="Times New Roman" w:cs="Times New Roman"/>
          <w:b/>
          <w:color w:val="000000"/>
          <w:sz w:val="32"/>
          <w:szCs w:val="32"/>
          <w:lang w:eastAsia="ru-RU"/>
        </w:rPr>
      </w:pPr>
    </w:p>
    <w:p w:rsidR="009A156F" w:rsidRDefault="009A156F" w:rsidP="009A156F">
      <w:pPr>
        <w:spacing w:after="0" w:line="240" w:lineRule="auto"/>
        <w:jc w:val="center"/>
        <w:rPr>
          <w:rFonts w:ascii="Times New Roman" w:eastAsia="Times New Roman" w:hAnsi="Times New Roman" w:cs="Times New Roman"/>
          <w:b/>
          <w:color w:val="000000"/>
          <w:sz w:val="32"/>
          <w:szCs w:val="32"/>
          <w:lang w:eastAsia="ru-RU"/>
        </w:rPr>
      </w:pPr>
    </w:p>
    <w:p w:rsidR="009A156F" w:rsidRDefault="009A156F" w:rsidP="009A156F">
      <w:pPr>
        <w:spacing w:after="0" w:line="240" w:lineRule="auto"/>
        <w:jc w:val="center"/>
        <w:rPr>
          <w:rFonts w:ascii="Times New Roman" w:eastAsia="Times New Roman" w:hAnsi="Times New Roman" w:cs="Times New Roman"/>
          <w:b/>
          <w:color w:val="000000"/>
          <w:sz w:val="32"/>
          <w:szCs w:val="32"/>
          <w:lang w:eastAsia="ru-RU"/>
        </w:rPr>
      </w:pPr>
    </w:p>
    <w:p w:rsidR="009A156F" w:rsidRDefault="009A156F" w:rsidP="009A156F">
      <w:pPr>
        <w:spacing w:after="0" w:line="240" w:lineRule="auto"/>
        <w:jc w:val="center"/>
        <w:rPr>
          <w:rFonts w:ascii="Times New Roman" w:eastAsia="Times New Roman" w:hAnsi="Times New Roman" w:cs="Times New Roman"/>
          <w:b/>
          <w:color w:val="000000"/>
          <w:sz w:val="32"/>
          <w:szCs w:val="32"/>
          <w:lang w:eastAsia="ru-RU"/>
        </w:rPr>
      </w:pPr>
    </w:p>
    <w:p w:rsidR="009A156F" w:rsidRDefault="009A156F" w:rsidP="009A156F">
      <w:pPr>
        <w:spacing w:after="0" w:line="240" w:lineRule="auto"/>
        <w:jc w:val="center"/>
        <w:rPr>
          <w:rFonts w:ascii="Times New Roman" w:eastAsia="Times New Roman" w:hAnsi="Times New Roman" w:cs="Times New Roman"/>
          <w:b/>
          <w:color w:val="000000"/>
          <w:sz w:val="32"/>
          <w:szCs w:val="32"/>
          <w:lang w:eastAsia="ru-RU"/>
        </w:rPr>
      </w:pPr>
    </w:p>
    <w:p w:rsidR="009A156F" w:rsidRDefault="009A156F" w:rsidP="009A156F">
      <w:pPr>
        <w:tabs>
          <w:tab w:val="left" w:pos="5812"/>
        </w:tabs>
        <w:spacing w:after="0" w:line="240" w:lineRule="auto"/>
        <w:jc w:val="center"/>
        <w:rPr>
          <w:rFonts w:ascii="Times New Roman" w:eastAsia="Times New Roman" w:hAnsi="Times New Roman" w:cs="Times New Roman"/>
          <w:b/>
          <w:color w:val="000000"/>
          <w:sz w:val="32"/>
          <w:szCs w:val="32"/>
          <w:lang w:eastAsia="ru-RU"/>
        </w:rPr>
      </w:pPr>
    </w:p>
    <w:p w:rsidR="009A156F" w:rsidRDefault="009A156F" w:rsidP="009A156F">
      <w:pPr>
        <w:spacing w:after="0" w:line="240" w:lineRule="auto"/>
        <w:jc w:val="center"/>
        <w:rPr>
          <w:rFonts w:ascii="Times New Roman" w:eastAsia="Times New Roman" w:hAnsi="Times New Roman" w:cs="Times New Roman"/>
          <w:b/>
          <w:color w:val="000000"/>
          <w:sz w:val="32"/>
          <w:szCs w:val="32"/>
          <w:lang w:eastAsia="ru-RU"/>
        </w:rPr>
      </w:pPr>
    </w:p>
    <w:p w:rsidR="009A156F" w:rsidRDefault="009A156F" w:rsidP="009A156F">
      <w:pPr>
        <w:spacing w:after="0" w:line="240" w:lineRule="auto"/>
        <w:jc w:val="center"/>
        <w:rPr>
          <w:rFonts w:ascii="Times New Roman" w:eastAsia="Times New Roman" w:hAnsi="Times New Roman" w:cs="Times New Roman"/>
          <w:b/>
          <w:color w:val="000000"/>
          <w:sz w:val="32"/>
          <w:szCs w:val="32"/>
          <w:lang w:eastAsia="ru-RU"/>
        </w:rPr>
      </w:pPr>
      <w:bookmarkStart w:id="0" w:name="_GoBack"/>
      <w:bookmarkEnd w:id="0"/>
    </w:p>
    <w:p w:rsidR="009A156F" w:rsidRDefault="009A156F" w:rsidP="009A156F">
      <w:pPr>
        <w:spacing w:after="0" w:line="240" w:lineRule="auto"/>
        <w:jc w:val="center"/>
        <w:rPr>
          <w:rFonts w:ascii="Times New Roman" w:eastAsia="Times New Roman" w:hAnsi="Times New Roman" w:cs="Times New Roman"/>
          <w:b/>
          <w:color w:val="000000"/>
          <w:sz w:val="32"/>
          <w:szCs w:val="32"/>
          <w:lang w:eastAsia="ru-RU"/>
        </w:rPr>
      </w:pPr>
    </w:p>
    <w:p w:rsidR="009A156F" w:rsidRDefault="009A156F" w:rsidP="009A156F">
      <w:pPr>
        <w:spacing w:after="0" w:line="240" w:lineRule="auto"/>
        <w:jc w:val="center"/>
        <w:rPr>
          <w:rFonts w:ascii="Times New Roman" w:eastAsia="Times New Roman" w:hAnsi="Times New Roman" w:cs="Times New Roman"/>
          <w:b/>
          <w:color w:val="000000"/>
          <w:sz w:val="32"/>
          <w:szCs w:val="32"/>
          <w:lang w:eastAsia="ru-RU"/>
        </w:rPr>
      </w:pPr>
    </w:p>
    <w:p w:rsidR="009A156F" w:rsidRDefault="009A156F" w:rsidP="009A156F">
      <w:pPr>
        <w:widowControl w:val="0"/>
        <w:autoSpaceDE w:val="0"/>
        <w:autoSpaceDN w:val="0"/>
        <w:adjustRightInd w:val="0"/>
        <w:spacing w:after="0" w:line="240" w:lineRule="auto"/>
        <w:ind w:left="709"/>
        <w:jc w:val="center"/>
        <w:rPr>
          <w:rFonts w:ascii="Times New Roman" w:eastAsia="Times New Roman" w:hAnsi="Times New Roman" w:cs="Times New Roman"/>
          <w:b/>
          <w:sz w:val="36"/>
          <w:szCs w:val="36"/>
          <w:lang w:eastAsia="ru-RU"/>
        </w:rPr>
      </w:pPr>
      <w:r>
        <w:rPr>
          <w:rFonts w:ascii="Times New Roman" w:eastAsia="Times New Roman" w:hAnsi="Times New Roman" w:cs="Times New Roman"/>
          <w:b/>
          <w:sz w:val="36"/>
          <w:szCs w:val="36"/>
          <w:lang w:eastAsia="ru-RU"/>
        </w:rPr>
        <w:t>МУНИЦИПАЛЬНАЯ ПРОГРАММА</w:t>
      </w:r>
    </w:p>
    <w:p w:rsidR="009A156F" w:rsidRDefault="009A156F" w:rsidP="009A156F">
      <w:pPr>
        <w:widowControl w:val="0"/>
        <w:autoSpaceDE w:val="0"/>
        <w:autoSpaceDN w:val="0"/>
        <w:adjustRightInd w:val="0"/>
        <w:spacing w:after="0" w:line="240" w:lineRule="auto"/>
        <w:ind w:left="709"/>
        <w:jc w:val="center"/>
        <w:rPr>
          <w:rFonts w:ascii="Times New Roman" w:eastAsia="Times New Roman" w:hAnsi="Times New Roman" w:cs="Times New Roman"/>
          <w:b/>
          <w:sz w:val="36"/>
          <w:szCs w:val="36"/>
          <w:lang w:eastAsia="ru-RU"/>
        </w:rPr>
      </w:pPr>
      <w:r>
        <w:rPr>
          <w:rFonts w:ascii="Times New Roman" w:eastAsia="Times New Roman" w:hAnsi="Times New Roman" w:cs="Times New Roman"/>
          <w:b/>
          <w:sz w:val="36"/>
          <w:szCs w:val="36"/>
          <w:lang w:eastAsia="ru-RU"/>
        </w:rPr>
        <w:t xml:space="preserve">муниципального района </w:t>
      </w:r>
    </w:p>
    <w:p w:rsidR="009A156F" w:rsidRDefault="009A156F" w:rsidP="009A156F">
      <w:pPr>
        <w:widowControl w:val="0"/>
        <w:autoSpaceDE w:val="0"/>
        <w:autoSpaceDN w:val="0"/>
        <w:adjustRightInd w:val="0"/>
        <w:spacing w:after="0" w:line="240" w:lineRule="auto"/>
        <w:ind w:left="709"/>
        <w:jc w:val="center"/>
        <w:rPr>
          <w:rFonts w:ascii="Times New Roman" w:eastAsia="Times New Roman" w:hAnsi="Times New Roman" w:cs="Times New Roman"/>
          <w:b/>
          <w:sz w:val="36"/>
          <w:szCs w:val="36"/>
          <w:lang w:eastAsia="ru-RU"/>
        </w:rPr>
      </w:pPr>
      <w:r>
        <w:rPr>
          <w:rFonts w:ascii="Times New Roman" w:eastAsia="Times New Roman" w:hAnsi="Times New Roman" w:cs="Times New Roman"/>
          <w:b/>
          <w:sz w:val="36"/>
          <w:szCs w:val="36"/>
          <w:lang w:eastAsia="ru-RU"/>
        </w:rPr>
        <w:t>«Тере-Хольский кожуун Республики Тыва»</w:t>
      </w:r>
    </w:p>
    <w:p w:rsidR="009A156F" w:rsidRDefault="009A156F" w:rsidP="009A156F">
      <w:pPr>
        <w:widowControl w:val="0"/>
        <w:autoSpaceDE w:val="0"/>
        <w:autoSpaceDN w:val="0"/>
        <w:adjustRightInd w:val="0"/>
        <w:spacing w:after="0" w:line="240" w:lineRule="auto"/>
        <w:ind w:left="709"/>
        <w:jc w:val="center"/>
        <w:rPr>
          <w:rFonts w:ascii="Times New Roman" w:eastAsia="Times New Roman" w:hAnsi="Times New Roman" w:cs="Times New Roman"/>
          <w:b/>
          <w:sz w:val="36"/>
          <w:szCs w:val="36"/>
          <w:lang w:eastAsia="ru-RU"/>
        </w:rPr>
      </w:pPr>
      <w:r>
        <w:rPr>
          <w:rFonts w:ascii="Times New Roman" w:eastAsia="Times New Roman" w:hAnsi="Times New Roman" w:cs="Times New Roman"/>
          <w:b/>
          <w:sz w:val="36"/>
          <w:szCs w:val="36"/>
          <w:lang w:eastAsia="ru-RU"/>
        </w:rPr>
        <w:t>«Обеспечение жильем молодых семей в муниципальном образовании «Тере-Хольский</w:t>
      </w:r>
      <w:r w:rsidR="000C1F7B">
        <w:rPr>
          <w:rFonts w:ascii="Times New Roman" w:eastAsia="Times New Roman" w:hAnsi="Times New Roman" w:cs="Times New Roman"/>
          <w:b/>
          <w:sz w:val="36"/>
          <w:szCs w:val="36"/>
          <w:lang w:eastAsia="ru-RU"/>
        </w:rPr>
        <w:t xml:space="preserve"> кожуун Республики Тыва» на 2022-2024</w:t>
      </w:r>
      <w:r>
        <w:rPr>
          <w:rFonts w:ascii="Times New Roman" w:eastAsia="Times New Roman" w:hAnsi="Times New Roman" w:cs="Times New Roman"/>
          <w:b/>
          <w:sz w:val="36"/>
          <w:szCs w:val="36"/>
          <w:lang w:eastAsia="ru-RU"/>
        </w:rPr>
        <w:t xml:space="preserve"> годы»</w:t>
      </w:r>
    </w:p>
    <w:p w:rsidR="009A156F" w:rsidRDefault="009A156F" w:rsidP="009A156F">
      <w:pPr>
        <w:spacing w:after="0" w:line="240" w:lineRule="auto"/>
        <w:jc w:val="center"/>
        <w:rPr>
          <w:rFonts w:ascii="Times New Roman" w:eastAsia="Times New Roman" w:hAnsi="Times New Roman" w:cs="Times New Roman"/>
          <w:sz w:val="28"/>
          <w:szCs w:val="28"/>
          <w:lang w:eastAsia="ru-RU"/>
        </w:rPr>
      </w:pPr>
    </w:p>
    <w:p w:rsidR="009A156F" w:rsidRDefault="009A156F" w:rsidP="009A15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lang w:eastAsia="ru-RU"/>
        </w:rPr>
      </w:pPr>
    </w:p>
    <w:p w:rsidR="009A156F" w:rsidRDefault="009A156F" w:rsidP="009A15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 xml:space="preserve"> </w:t>
      </w:r>
    </w:p>
    <w:p w:rsidR="009A156F" w:rsidRDefault="009A156F" w:rsidP="009A15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lang w:eastAsia="ru-RU"/>
        </w:rPr>
      </w:pPr>
    </w:p>
    <w:p w:rsidR="009A156F" w:rsidRDefault="009A156F" w:rsidP="009A15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lang w:eastAsia="ru-RU"/>
        </w:rPr>
      </w:pPr>
    </w:p>
    <w:p w:rsidR="009A156F" w:rsidRDefault="009A156F" w:rsidP="009A15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lang w:eastAsia="ru-RU"/>
        </w:rPr>
      </w:pPr>
    </w:p>
    <w:p w:rsidR="009A156F" w:rsidRDefault="009A156F" w:rsidP="009A15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lang w:eastAsia="ru-RU"/>
        </w:rPr>
      </w:pPr>
    </w:p>
    <w:p w:rsidR="009A156F" w:rsidRDefault="009A156F" w:rsidP="009A15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lang w:eastAsia="ru-RU"/>
        </w:rPr>
      </w:pPr>
    </w:p>
    <w:p w:rsidR="009A156F" w:rsidRDefault="009A156F" w:rsidP="009A15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lang w:eastAsia="ru-RU"/>
        </w:rPr>
      </w:pPr>
    </w:p>
    <w:p w:rsidR="009A156F" w:rsidRDefault="009A156F" w:rsidP="009A156F">
      <w:pPr>
        <w:widowControl w:val="0"/>
        <w:autoSpaceDE w:val="0"/>
        <w:autoSpaceDN w:val="0"/>
        <w:adjustRightInd w:val="0"/>
        <w:spacing w:after="0" w:line="240" w:lineRule="auto"/>
        <w:ind w:left="709"/>
        <w:jc w:val="center"/>
        <w:rPr>
          <w:rFonts w:ascii="Times New Roman" w:eastAsia="Times New Roman" w:hAnsi="Times New Roman" w:cs="Times New Roman"/>
          <w:b/>
          <w:sz w:val="32"/>
          <w:szCs w:val="32"/>
          <w:lang w:eastAsia="ru-RU"/>
        </w:rPr>
      </w:pPr>
    </w:p>
    <w:p w:rsidR="009A156F" w:rsidRDefault="009A156F" w:rsidP="009A156F">
      <w:pPr>
        <w:widowControl w:val="0"/>
        <w:autoSpaceDE w:val="0"/>
        <w:autoSpaceDN w:val="0"/>
        <w:adjustRightInd w:val="0"/>
        <w:spacing w:after="200" w:line="276" w:lineRule="auto"/>
        <w:jc w:val="center"/>
        <w:rPr>
          <w:rFonts w:ascii="Times New Roman" w:eastAsia="Times New Roman" w:hAnsi="Times New Roman" w:cs="Times New Roman"/>
          <w:b/>
          <w:lang w:eastAsia="ru-RU"/>
        </w:rPr>
      </w:pPr>
    </w:p>
    <w:p w:rsidR="009A156F" w:rsidRDefault="009A156F" w:rsidP="009A156F">
      <w:pPr>
        <w:widowControl w:val="0"/>
        <w:autoSpaceDE w:val="0"/>
        <w:autoSpaceDN w:val="0"/>
        <w:adjustRightInd w:val="0"/>
        <w:spacing w:after="200" w:line="276" w:lineRule="auto"/>
        <w:rPr>
          <w:rFonts w:ascii="Times New Roman" w:eastAsia="Times New Roman" w:hAnsi="Times New Roman" w:cs="Times New Roman"/>
          <w:b/>
          <w:lang w:eastAsia="ru-RU"/>
        </w:rPr>
      </w:pPr>
    </w:p>
    <w:p w:rsidR="009A156F" w:rsidRDefault="009A156F" w:rsidP="009A156F">
      <w:pPr>
        <w:widowControl w:val="0"/>
        <w:autoSpaceDE w:val="0"/>
        <w:autoSpaceDN w:val="0"/>
        <w:adjustRightInd w:val="0"/>
        <w:spacing w:after="200" w:line="276"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lastRenderedPageBreak/>
        <w:t>Паспорт</w:t>
      </w:r>
    </w:p>
    <w:p w:rsidR="009A156F" w:rsidRDefault="009A156F" w:rsidP="009A156F">
      <w:pPr>
        <w:widowControl w:val="0"/>
        <w:autoSpaceDE w:val="0"/>
        <w:autoSpaceDN w:val="0"/>
        <w:adjustRightInd w:val="0"/>
        <w:spacing w:after="200" w:line="276"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Муниципальной программы "Обеспечение жильем молодых семей в муниципальном образовании «Тере-Хольский</w:t>
      </w:r>
      <w:r w:rsidR="00EA3F2A">
        <w:rPr>
          <w:rFonts w:ascii="Times New Roman" w:eastAsia="Times New Roman" w:hAnsi="Times New Roman" w:cs="Times New Roman"/>
          <w:sz w:val="26"/>
          <w:szCs w:val="26"/>
          <w:lang w:eastAsia="ru-RU"/>
        </w:rPr>
        <w:t xml:space="preserve"> кожуун Республики Тыва» на 2022-2024</w:t>
      </w:r>
      <w:r>
        <w:rPr>
          <w:rFonts w:ascii="Times New Roman" w:eastAsia="Times New Roman" w:hAnsi="Times New Roman" w:cs="Times New Roman"/>
          <w:sz w:val="26"/>
          <w:szCs w:val="26"/>
          <w:lang w:eastAsia="ru-RU"/>
        </w:rPr>
        <w:t xml:space="preserve"> годы "</w:t>
      </w:r>
      <w:r>
        <w:rPr>
          <w:rFonts w:ascii="Times New Roman" w:eastAsia="Times New Roman" w:hAnsi="Times New Roman" w:cs="Times New Roman"/>
          <w:bCs/>
          <w:sz w:val="26"/>
          <w:szCs w:val="26"/>
          <w:lang w:eastAsia="ru-RU"/>
        </w:rPr>
        <w:t xml:space="preserve">     </w:t>
      </w:r>
      <w:r>
        <w:rPr>
          <w:rFonts w:ascii="Times New Roman" w:eastAsia="Times New Roman" w:hAnsi="Times New Roman" w:cs="Times New Roman"/>
          <w:sz w:val="26"/>
          <w:szCs w:val="26"/>
          <w:lang w:eastAsia="ru-RU"/>
        </w:rPr>
        <w:t xml:space="preserve"> </w:t>
      </w:r>
    </w:p>
    <w:tbl>
      <w:tblPr>
        <w:tblW w:w="9660" w:type="dxa"/>
        <w:tblInd w:w="108" w:type="dxa"/>
        <w:tblLayout w:type="fixed"/>
        <w:tblLook w:val="04A0" w:firstRow="1" w:lastRow="0" w:firstColumn="1" w:lastColumn="0" w:noHBand="0" w:noVBand="1"/>
      </w:tblPr>
      <w:tblGrid>
        <w:gridCol w:w="2578"/>
        <w:gridCol w:w="1274"/>
        <w:gridCol w:w="2126"/>
        <w:gridCol w:w="1133"/>
        <w:gridCol w:w="1275"/>
        <w:gridCol w:w="1266"/>
        <w:gridCol w:w="8"/>
      </w:tblGrid>
      <w:tr w:rsidR="009A156F" w:rsidTr="00267B1D">
        <w:trPr>
          <w:gridAfter w:val="1"/>
          <w:wAfter w:w="8" w:type="dxa"/>
        </w:trPr>
        <w:tc>
          <w:tcPr>
            <w:tcW w:w="2578" w:type="dxa"/>
            <w:tcBorders>
              <w:top w:val="single" w:sz="6" w:space="0" w:color="auto"/>
              <w:left w:val="single" w:sz="6" w:space="0" w:color="auto"/>
              <w:bottom w:val="single" w:sz="6" w:space="0" w:color="auto"/>
              <w:right w:val="single" w:sz="6" w:space="0" w:color="auto"/>
            </w:tcBorders>
            <w:hideMark/>
          </w:tcPr>
          <w:p w:rsidR="009A156F" w:rsidRDefault="009A156F">
            <w:pPr>
              <w:widowControl w:val="0"/>
              <w:autoSpaceDE w:val="0"/>
              <w:autoSpaceDN w:val="0"/>
              <w:adjustRightInd w:val="0"/>
              <w:spacing w:after="200" w:line="276" w:lineRule="auto"/>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Наименование</w:t>
            </w:r>
          </w:p>
          <w:p w:rsidR="009A156F" w:rsidRDefault="009A156F">
            <w:pPr>
              <w:widowControl w:val="0"/>
              <w:autoSpaceDE w:val="0"/>
              <w:autoSpaceDN w:val="0"/>
              <w:adjustRightInd w:val="0"/>
              <w:spacing w:after="200" w:line="276" w:lineRule="auto"/>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Программы</w:t>
            </w:r>
          </w:p>
        </w:tc>
        <w:tc>
          <w:tcPr>
            <w:tcW w:w="7074" w:type="dxa"/>
            <w:gridSpan w:val="5"/>
            <w:tcBorders>
              <w:top w:val="single" w:sz="6" w:space="0" w:color="auto"/>
              <w:left w:val="single" w:sz="6" w:space="0" w:color="auto"/>
              <w:bottom w:val="single" w:sz="6" w:space="0" w:color="auto"/>
              <w:right w:val="single" w:sz="6" w:space="0" w:color="auto"/>
            </w:tcBorders>
            <w:hideMark/>
          </w:tcPr>
          <w:p w:rsidR="009A156F" w:rsidRDefault="009A156F">
            <w:pPr>
              <w:widowControl w:val="0"/>
              <w:autoSpaceDE w:val="0"/>
              <w:autoSpaceDN w:val="0"/>
              <w:adjustRightInd w:val="0"/>
              <w:spacing w:after="20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Обеспечение жильем молодых семей в муниципальном образовании «Тере-Хольский</w:t>
            </w:r>
            <w:r w:rsidR="00A93898">
              <w:rPr>
                <w:rFonts w:ascii="Times New Roman" w:eastAsia="Times New Roman" w:hAnsi="Times New Roman" w:cs="Times New Roman"/>
                <w:sz w:val="26"/>
                <w:szCs w:val="26"/>
                <w:lang w:eastAsia="ru-RU"/>
              </w:rPr>
              <w:t xml:space="preserve"> кожуун Республики Тыва» на 2022-2024</w:t>
            </w:r>
            <w:r>
              <w:rPr>
                <w:rFonts w:ascii="Times New Roman" w:eastAsia="Times New Roman" w:hAnsi="Times New Roman" w:cs="Times New Roman"/>
                <w:sz w:val="26"/>
                <w:szCs w:val="26"/>
                <w:lang w:eastAsia="ru-RU"/>
              </w:rPr>
              <w:t xml:space="preserve"> годы</w:t>
            </w:r>
          </w:p>
        </w:tc>
      </w:tr>
      <w:tr w:rsidR="009A156F" w:rsidTr="00267B1D">
        <w:trPr>
          <w:gridAfter w:val="1"/>
          <w:wAfter w:w="8" w:type="dxa"/>
        </w:trPr>
        <w:tc>
          <w:tcPr>
            <w:tcW w:w="2578" w:type="dxa"/>
            <w:tcBorders>
              <w:top w:val="single" w:sz="6" w:space="0" w:color="auto"/>
              <w:left w:val="single" w:sz="6" w:space="0" w:color="auto"/>
              <w:bottom w:val="single" w:sz="6" w:space="0" w:color="auto"/>
              <w:right w:val="single" w:sz="6" w:space="0" w:color="auto"/>
            </w:tcBorders>
            <w:hideMark/>
          </w:tcPr>
          <w:p w:rsidR="009A156F" w:rsidRDefault="009A156F">
            <w:pPr>
              <w:widowControl w:val="0"/>
              <w:autoSpaceDE w:val="0"/>
              <w:autoSpaceDN w:val="0"/>
              <w:adjustRightInd w:val="0"/>
              <w:spacing w:after="200" w:line="276" w:lineRule="auto"/>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Заказчик Программы</w:t>
            </w:r>
          </w:p>
        </w:tc>
        <w:tc>
          <w:tcPr>
            <w:tcW w:w="7074" w:type="dxa"/>
            <w:gridSpan w:val="5"/>
            <w:tcBorders>
              <w:top w:val="single" w:sz="6" w:space="0" w:color="auto"/>
              <w:left w:val="single" w:sz="6" w:space="0" w:color="auto"/>
              <w:bottom w:val="single" w:sz="6" w:space="0" w:color="auto"/>
              <w:right w:val="single" w:sz="6" w:space="0" w:color="auto"/>
            </w:tcBorders>
            <w:hideMark/>
          </w:tcPr>
          <w:p w:rsidR="009A156F" w:rsidRDefault="009A156F">
            <w:pPr>
              <w:spacing w:after="20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Администрация муниципального района «Тере-Хольский кожуун Республики Тыва» </w:t>
            </w:r>
          </w:p>
        </w:tc>
      </w:tr>
      <w:tr w:rsidR="009A156F" w:rsidTr="00267B1D">
        <w:trPr>
          <w:gridAfter w:val="1"/>
          <w:wAfter w:w="8" w:type="dxa"/>
        </w:trPr>
        <w:tc>
          <w:tcPr>
            <w:tcW w:w="2578" w:type="dxa"/>
            <w:tcBorders>
              <w:top w:val="single" w:sz="6" w:space="0" w:color="auto"/>
              <w:left w:val="single" w:sz="6" w:space="0" w:color="auto"/>
              <w:bottom w:val="single" w:sz="6" w:space="0" w:color="auto"/>
              <w:right w:val="single" w:sz="6" w:space="0" w:color="auto"/>
            </w:tcBorders>
            <w:hideMark/>
          </w:tcPr>
          <w:p w:rsidR="009A156F" w:rsidRDefault="009A156F">
            <w:pPr>
              <w:widowControl w:val="0"/>
              <w:autoSpaceDE w:val="0"/>
              <w:autoSpaceDN w:val="0"/>
              <w:adjustRightInd w:val="0"/>
              <w:spacing w:after="200" w:line="276" w:lineRule="auto"/>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Цели и задачи</w:t>
            </w:r>
          </w:p>
        </w:tc>
        <w:tc>
          <w:tcPr>
            <w:tcW w:w="7074" w:type="dxa"/>
            <w:gridSpan w:val="5"/>
            <w:tcBorders>
              <w:top w:val="single" w:sz="6" w:space="0" w:color="auto"/>
              <w:left w:val="single" w:sz="6" w:space="0" w:color="auto"/>
              <w:bottom w:val="single" w:sz="6" w:space="0" w:color="auto"/>
              <w:right w:val="single" w:sz="6" w:space="0" w:color="auto"/>
            </w:tcBorders>
            <w:hideMark/>
          </w:tcPr>
          <w:p w:rsidR="009A156F" w:rsidRDefault="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sz w:val="26"/>
                <w:szCs w:val="26"/>
                <w:lang w:eastAsia="ru-RU"/>
              </w:rPr>
              <w:t xml:space="preserve">Цель: </w:t>
            </w:r>
            <w:r>
              <w:rPr>
                <w:rFonts w:ascii="Times New Roman" w:eastAsia="Times New Roman" w:hAnsi="Times New Roman" w:cs="Times New Roman"/>
                <w:bCs/>
                <w:sz w:val="26"/>
                <w:szCs w:val="26"/>
                <w:lang w:eastAsia="ru-RU"/>
              </w:rPr>
              <w:t>создание комфортных условий жизнедеятельности и улучшение жилищных условий молодых семей;</w:t>
            </w:r>
          </w:p>
          <w:p w:rsidR="009A156F" w:rsidRDefault="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-формирование позитивного отношения к селу и сельскому образу жизни;</w:t>
            </w:r>
          </w:p>
          <w:p w:rsidR="009A156F" w:rsidRDefault="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-расширение сфер занятости и источником формирования доходов граждан, проживающих в сельской местности.</w:t>
            </w:r>
          </w:p>
          <w:p w:rsidR="009A156F" w:rsidRDefault="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Задачи: </w:t>
            </w:r>
          </w:p>
          <w:p w:rsidR="009A156F" w:rsidRDefault="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предоставление социальных выплат молодым семьям для улучшения жилищных условий;</w:t>
            </w:r>
          </w:p>
          <w:p w:rsidR="009A156F" w:rsidRDefault="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-удовлетворение потребностей молодых семей и молодых специалистов;</w:t>
            </w:r>
          </w:p>
          <w:p w:rsidR="009A156F" w:rsidRDefault="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-повышение уровня социально-инженерного обустройства села.</w:t>
            </w:r>
          </w:p>
        </w:tc>
      </w:tr>
      <w:tr w:rsidR="009A156F" w:rsidTr="00267B1D">
        <w:trPr>
          <w:gridAfter w:val="1"/>
          <w:wAfter w:w="8" w:type="dxa"/>
        </w:trPr>
        <w:tc>
          <w:tcPr>
            <w:tcW w:w="2578" w:type="dxa"/>
            <w:tcBorders>
              <w:top w:val="single" w:sz="6" w:space="0" w:color="auto"/>
              <w:left w:val="single" w:sz="6" w:space="0" w:color="auto"/>
              <w:bottom w:val="single" w:sz="6" w:space="0" w:color="auto"/>
              <w:right w:val="single" w:sz="6" w:space="0" w:color="auto"/>
            </w:tcBorders>
            <w:hideMark/>
          </w:tcPr>
          <w:p w:rsidR="009A156F" w:rsidRDefault="009A156F">
            <w:pPr>
              <w:widowControl w:val="0"/>
              <w:autoSpaceDE w:val="0"/>
              <w:autoSpaceDN w:val="0"/>
              <w:adjustRightInd w:val="0"/>
              <w:spacing w:after="200" w:line="276" w:lineRule="auto"/>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Основные разработчики</w:t>
            </w:r>
          </w:p>
        </w:tc>
        <w:tc>
          <w:tcPr>
            <w:tcW w:w="7074" w:type="dxa"/>
            <w:gridSpan w:val="5"/>
            <w:tcBorders>
              <w:top w:val="single" w:sz="6" w:space="0" w:color="auto"/>
              <w:left w:val="single" w:sz="6" w:space="0" w:color="auto"/>
              <w:bottom w:val="single" w:sz="6" w:space="0" w:color="auto"/>
              <w:right w:val="single" w:sz="6" w:space="0" w:color="auto"/>
            </w:tcBorders>
          </w:tcPr>
          <w:p w:rsidR="009A156F" w:rsidRDefault="009A156F">
            <w:pPr>
              <w:spacing w:after="0" w:line="240" w:lineRule="auto"/>
              <w:ind w:left="121"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rPr>
              <w:t>Заместитель председателя администрации по экономике Тере-Хольского кожууна.</w:t>
            </w:r>
          </w:p>
          <w:p w:rsidR="009A156F" w:rsidRDefault="009A156F">
            <w:pPr>
              <w:spacing w:after="0" w:line="240" w:lineRule="auto"/>
              <w:ind w:left="121" w:firstLine="426"/>
              <w:jc w:val="both"/>
              <w:rPr>
                <w:rFonts w:ascii="Times New Roman" w:eastAsia="Calibri" w:hAnsi="Times New Roman" w:cs="Times New Roman"/>
                <w:sz w:val="26"/>
                <w:szCs w:val="26"/>
                <w:lang w:eastAsia="ru-RU"/>
              </w:rPr>
            </w:pPr>
          </w:p>
        </w:tc>
      </w:tr>
      <w:tr w:rsidR="009A156F" w:rsidTr="00267B1D">
        <w:trPr>
          <w:gridAfter w:val="1"/>
          <w:wAfter w:w="8" w:type="dxa"/>
        </w:trPr>
        <w:tc>
          <w:tcPr>
            <w:tcW w:w="2578" w:type="dxa"/>
            <w:tcBorders>
              <w:top w:val="single" w:sz="6" w:space="0" w:color="auto"/>
              <w:left w:val="single" w:sz="6" w:space="0" w:color="auto"/>
              <w:bottom w:val="single" w:sz="6" w:space="0" w:color="auto"/>
              <w:right w:val="single" w:sz="6" w:space="0" w:color="auto"/>
            </w:tcBorders>
            <w:hideMark/>
          </w:tcPr>
          <w:p w:rsidR="009A156F" w:rsidRDefault="009A156F">
            <w:pPr>
              <w:widowControl w:val="0"/>
              <w:autoSpaceDE w:val="0"/>
              <w:autoSpaceDN w:val="0"/>
              <w:adjustRightInd w:val="0"/>
              <w:spacing w:after="200" w:line="276" w:lineRule="auto"/>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Срок реализации</w:t>
            </w:r>
          </w:p>
        </w:tc>
        <w:tc>
          <w:tcPr>
            <w:tcW w:w="7074" w:type="dxa"/>
            <w:gridSpan w:val="5"/>
            <w:tcBorders>
              <w:top w:val="single" w:sz="6" w:space="0" w:color="auto"/>
              <w:left w:val="single" w:sz="6" w:space="0" w:color="auto"/>
              <w:bottom w:val="single" w:sz="6" w:space="0" w:color="auto"/>
              <w:right w:val="single" w:sz="6" w:space="0" w:color="auto"/>
            </w:tcBorders>
            <w:hideMark/>
          </w:tcPr>
          <w:p w:rsidR="009A156F" w:rsidRDefault="006359C4">
            <w:pPr>
              <w:autoSpaceDE w:val="0"/>
              <w:autoSpaceDN w:val="0"/>
              <w:adjustRightInd w:val="0"/>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2022-2024</w:t>
            </w:r>
            <w:r w:rsidR="009A156F">
              <w:rPr>
                <w:rFonts w:ascii="Times New Roman" w:eastAsia="Times New Roman" w:hAnsi="Times New Roman" w:cs="Times New Roman"/>
                <w:sz w:val="26"/>
                <w:szCs w:val="26"/>
                <w:lang w:eastAsia="ru-RU"/>
              </w:rPr>
              <w:t xml:space="preserve"> гг.</w:t>
            </w:r>
          </w:p>
        </w:tc>
      </w:tr>
      <w:tr w:rsidR="009A156F" w:rsidTr="00267B1D">
        <w:trPr>
          <w:gridAfter w:val="1"/>
          <w:wAfter w:w="8" w:type="dxa"/>
        </w:trPr>
        <w:tc>
          <w:tcPr>
            <w:tcW w:w="2578" w:type="dxa"/>
            <w:tcBorders>
              <w:top w:val="single" w:sz="6" w:space="0" w:color="auto"/>
              <w:left w:val="single" w:sz="6" w:space="0" w:color="auto"/>
              <w:bottom w:val="single" w:sz="6" w:space="0" w:color="auto"/>
              <w:right w:val="single" w:sz="6" w:space="0" w:color="auto"/>
            </w:tcBorders>
            <w:hideMark/>
          </w:tcPr>
          <w:p w:rsidR="009A156F" w:rsidRDefault="009A156F">
            <w:pPr>
              <w:widowControl w:val="0"/>
              <w:autoSpaceDE w:val="0"/>
              <w:autoSpaceDN w:val="0"/>
              <w:adjustRightInd w:val="0"/>
              <w:spacing w:after="200" w:line="276" w:lineRule="auto"/>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Перечень основных мероприятий</w:t>
            </w:r>
          </w:p>
        </w:tc>
        <w:tc>
          <w:tcPr>
            <w:tcW w:w="7074" w:type="dxa"/>
            <w:gridSpan w:val="5"/>
            <w:tcBorders>
              <w:top w:val="single" w:sz="6" w:space="0" w:color="auto"/>
              <w:left w:val="single" w:sz="6" w:space="0" w:color="auto"/>
              <w:bottom w:val="single" w:sz="6" w:space="0" w:color="auto"/>
              <w:right w:val="single" w:sz="6" w:space="0" w:color="auto"/>
            </w:tcBorders>
            <w:hideMark/>
          </w:tcPr>
          <w:p w:rsidR="009A156F" w:rsidRDefault="009A156F">
            <w:pPr>
              <w:widowControl w:val="0"/>
              <w:autoSpaceDE w:val="0"/>
              <w:autoSpaceDN w:val="0"/>
              <w:adjustRightInd w:val="0"/>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Улучшение жилищных условий 15 молодых семей и молодых специалистов;</w:t>
            </w:r>
          </w:p>
          <w:p w:rsidR="009A156F" w:rsidRDefault="009A156F">
            <w:pPr>
              <w:widowControl w:val="0"/>
              <w:autoSpaceDE w:val="0"/>
              <w:autoSpaceDN w:val="0"/>
              <w:adjustRightInd w:val="0"/>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Развитие социальной и инженерной инфраструктуры, строительства и </w:t>
            </w:r>
            <w:proofErr w:type="gramStart"/>
            <w:r>
              <w:rPr>
                <w:rFonts w:ascii="Times New Roman" w:eastAsia="Times New Roman" w:hAnsi="Times New Roman" w:cs="Times New Roman"/>
                <w:sz w:val="26"/>
                <w:szCs w:val="26"/>
                <w:lang w:eastAsia="ru-RU"/>
              </w:rPr>
              <w:t>реконструкции</w:t>
            </w:r>
            <w:proofErr w:type="gramEnd"/>
            <w:r>
              <w:rPr>
                <w:rFonts w:ascii="Times New Roman" w:eastAsia="Times New Roman" w:hAnsi="Times New Roman" w:cs="Times New Roman"/>
                <w:sz w:val="26"/>
                <w:szCs w:val="26"/>
                <w:lang w:eastAsia="ru-RU"/>
              </w:rPr>
              <w:t xml:space="preserve"> автомобильных дорог в сельской местности;</w:t>
            </w:r>
          </w:p>
          <w:p w:rsidR="009A156F" w:rsidRDefault="009A156F">
            <w:pPr>
              <w:widowControl w:val="0"/>
              <w:autoSpaceDE w:val="0"/>
              <w:autoSpaceDN w:val="0"/>
              <w:adjustRightInd w:val="0"/>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Поддержка комплексной компактной застройки и благоустройства сельских поселений в рамках пилотных проектов;</w:t>
            </w:r>
          </w:p>
          <w:p w:rsidR="009A156F" w:rsidRDefault="009A156F">
            <w:pPr>
              <w:widowControl w:val="0"/>
              <w:autoSpaceDE w:val="0"/>
              <w:autoSpaceDN w:val="0"/>
              <w:adjustRightInd w:val="0"/>
              <w:spacing w:after="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Поддержка местных инициатив, направленных на улучшение условий жизнедеятельности граждан, проживающих в сельской местности.</w:t>
            </w:r>
          </w:p>
        </w:tc>
      </w:tr>
      <w:tr w:rsidR="009A156F" w:rsidTr="00267B1D">
        <w:trPr>
          <w:gridAfter w:val="1"/>
          <w:wAfter w:w="8" w:type="dxa"/>
        </w:trPr>
        <w:tc>
          <w:tcPr>
            <w:tcW w:w="2578" w:type="dxa"/>
            <w:tcBorders>
              <w:top w:val="single" w:sz="6" w:space="0" w:color="auto"/>
              <w:left w:val="single" w:sz="6" w:space="0" w:color="auto"/>
              <w:bottom w:val="single" w:sz="6" w:space="0" w:color="auto"/>
              <w:right w:val="single" w:sz="6" w:space="0" w:color="auto"/>
            </w:tcBorders>
            <w:hideMark/>
          </w:tcPr>
          <w:p w:rsidR="009A156F" w:rsidRDefault="009A156F">
            <w:pPr>
              <w:widowControl w:val="0"/>
              <w:autoSpaceDE w:val="0"/>
              <w:autoSpaceDN w:val="0"/>
              <w:adjustRightInd w:val="0"/>
              <w:spacing w:after="200" w:line="276" w:lineRule="auto"/>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Основные исполнители </w:t>
            </w:r>
            <w:r>
              <w:rPr>
                <w:rFonts w:ascii="Times New Roman" w:eastAsia="Times New Roman" w:hAnsi="Times New Roman" w:cs="Times New Roman"/>
                <w:bCs/>
                <w:sz w:val="26"/>
                <w:szCs w:val="26"/>
                <w:lang w:eastAsia="ru-RU"/>
              </w:rPr>
              <w:lastRenderedPageBreak/>
              <w:t>Программы</w:t>
            </w:r>
          </w:p>
        </w:tc>
        <w:tc>
          <w:tcPr>
            <w:tcW w:w="7074" w:type="dxa"/>
            <w:gridSpan w:val="5"/>
            <w:tcBorders>
              <w:top w:val="single" w:sz="6" w:space="0" w:color="auto"/>
              <w:left w:val="single" w:sz="6" w:space="0" w:color="auto"/>
              <w:bottom w:val="single" w:sz="6" w:space="0" w:color="auto"/>
              <w:right w:val="single" w:sz="6" w:space="0" w:color="auto"/>
            </w:tcBorders>
            <w:hideMark/>
          </w:tcPr>
          <w:p w:rsidR="009A156F" w:rsidRDefault="009A156F">
            <w:pPr>
              <w:spacing w:after="200" w:line="276"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 xml:space="preserve">Отдел архитектуры, строительства, земельных и </w:t>
            </w:r>
            <w:r>
              <w:rPr>
                <w:rFonts w:ascii="Times New Roman" w:eastAsia="Times New Roman" w:hAnsi="Times New Roman" w:cs="Times New Roman"/>
                <w:sz w:val="26"/>
                <w:szCs w:val="26"/>
                <w:lang w:eastAsia="ru-RU"/>
              </w:rPr>
              <w:lastRenderedPageBreak/>
              <w:t xml:space="preserve">имущественных отношений </w:t>
            </w:r>
          </w:p>
        </w:tc>
      </w:tr>
      <w:tr w:rsidR="009A156F" w:rsidTr="00267B1D">
        <w:trPr>
          <w:gridAfter w:val="1"/>
          <w:wAfter w:w="8" w:type="dxa"/>
          <w:trHeight w:val="865"/>
        </w:trPr>
        <w:tc>
          <w:tcPr>
            <w:tcW w:w="2578" w:type="dxa"/>
            <w:vMerge w:val="restart"/>
            <w:tcBorders>
              <w:top w:val="single" w:sz="6" w:space="0" w:color="auto"/>
              <w:left w:val="single" w:sz="6" w:space="0" w:color="auto"/>
              <w:bottom w:val="single" w:sz="6" w:space="0" w:color="auto"/>
              <w:right w:val="single" w:sz="6" w:space="0" w:color="auto"/>
            </w:tcBorders>
            <w:hideMark/>
          </w:tcPr>
          <w:p w:rsidR="009A156F" w:rsidRDefault="009A156F">
            <w:pPr>
              <w:widowControl w:val="0"/>
              <w:autoSpaceDE w:val="0"/>
              <w:autoSpaceDN w:val="0"/>
              <w:adjustRightInd w:val="0"/>
              <w:spacing w:after="200" w:line="276" w:lineRule="auto"/>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lastRenderedPageBreak/>
              <w:t>Объёмы и источники финансирования</w:t>
            </w:r>
          </w:p>
        </w:tc>
        <w:tc>
          <w:tcPr>
            <w:tcW w:w="1274" w:type="dxa"/>
            <w:tcBorders>
              <w:top w:val="single" w:sz="6" w:space="0" w:color="auto"/>
              <w:left w:val="single" w:sz="6" w:space="0" w:color="auto"/>
              <w:bottom w:val="single" w:sz="6" w:space="0" w:color="auto"/>
              <w:right w:val="single" w:sz="6" w:space="0" w:color="auto"/>
            </w:tcBorders>
          </w:tcPr>
          <w:p w:rsidR="009A156F" w:rsidRDefault="009A156F">
            <w:pPr>
              <w:widowControl w:val="0"/>
              <w:autoSpaceDE w:val="0"/>
              <w:autoSpaceDN w:val="0"/>
              <w:adjustRightInd w:val="0"/>
              <w:spacing w:after="200" w:line="276" w:lineRule="auto"/>
              <w:rPr>
                <w:rFonts w:ascii="Times New Roman" w:eastAsia="Times New Roman" w:hAnsi="Times New Roman" w:cs="Times New Roman"/>
                <w:sz w:val="26"/>
                <w:szCs w:val="26"/>
                <w:lang w:eastAsia="ru-RU"/>
              </w:rPr>
            </w:pPr>
          </w:p>
        </w:tc>
        <w:tc>
          <w:tcPr>
            <w:tcW w:w="2126" w:type="dxa"/>
            <w:tcBorders>
              <w:top w:val="single" w:sz="6" w:space="0" w:color="auto"/>
              <w:left w:val="single" w:sz="6" w:space="0" w:color="auto"/>
              <w:bottom w:val="single" w:sz="6" w:space="0" w:color="auto"/>
              <w:right w:val="single" w:sz="6" w:space="0" w:color="auto"/>
            </w:tcBorders>
            <w:hideMark/>
          </w:tcPr>
          <w:p w:rsidR="009A156F" w:rsidRDefault="009A156F">
            <w:pPr>
              <w:widowControl w:val="0"/>
              <w:autoSpaceDE w:val="0"/>
              <w:autoSpaceDN w:val="0"/>
              <w:adjustRightInd w:val="0"/>
              <w:spacing w:after="200" w:line="276" w:lineRule="auto"/>
              <w:jc w:val="center"/>
              <w:rPr>
                <w:rFonts w:ascii="Times New Roman" w:eastAsia="Times New Roman" w:hAnsi="Times New Roman" w:cs="Times New Roman"/>
                <w:bCs/>
                <w:sz w:val="26"/>
                <w:szCs w:val="26"/>
                <w:lang w:eastAsia="ru-RU"/>
              </w:rPr>
            </w:pPr>
            <w:r>
              <w:rPr>
                <w:rFonts w:ascii="Times New Roman" w:eastAsia="Times New Roman" w:hAnsi="Times New Roman" w:cs="Times New Roman"/>
                <w:bCs/>
                <w:sz w:val="24"/>
                <w:szCs w:val="26"/>
                <w:lang w:eastAsia="ru-RU"/>
              </w:rPr>
              <w:t xml:space="preserve">Общий объём </w:t>
            </w:r>
            <w:proofErr w:type="gramStart"/>
            <w:r>
              <w:rPr>
                <w:rFonts w:ascii="Times New Roman" w:eastAsia="Times New Roman" w:hAnsi="Times New Roman" w:cs="Times New Roman"/>
                <w:bCs/>
                <w:sz w:val="24"/>
                <w:szCs w:val="26"/>
                <w:lang w:eastAsia="ru-RU"/>
              </w:rPr>
              <w:t>финансировании</w:t>
            </w:r>
            <w:proofErr w:type="gramEnd"/>
            <w:r>
              <w:rPr>
                <w:rFonts w:ascii="Times New Roman" w:eastAsia="Times New Roman" w:hAnsi="Times New Roman" w:cs="Times New Roman"/>
                <w:bCs/>
                <w:sz w:val="24"/>
                <w:szCs w:val="26"/>
                <w:lang w:eastAsia="ru-RU"/>
              </w:rPr>
              <w:t>, тыс. руб.</w:t>
            </w:r>
          </w:p>
        </w:tc>
        <w:tc>
          <w:tcPr>
            <w:tcW w:w="1133" w:type="dxa"/>
            <w:tcBorders>
              <w:top w:val="single" w:sz="6" w:space="0" w:color="auto"/>
              <w:left w:val="single" w:sz="6" w:space="0" w:color="auto"/>
              <w:bottom w:val="single" w:sz="6" w:space="0" w:color="auto"/>
              <w:right w:val="single" w:sz="4" w:space="0" w:color="auto"/>
            </w:tcBorders>
            <w:vAlign w:val="center"/>
            <w:hideMark/>
          </w:tcPr>
          <w:p w:rsidR="009A156F" w:rsidRDefault="00F4788D">
            <w:pPr>
              <w:widowControl w:val="0"/>
              <w:autoSpaceDE w:val="0"/>
              <w:autoSpaceDN w:val="0"/>
              <w:adjustRightInd w:val="0"/>
              <w:spacing w:after="200" w:line="276" w:lineRule="auto"/>
              <w:jc w:val="center"/>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2022</w:t>
            </w:r>
          </w:p>
        </w:tc>
        <w:tc>
          <w:tcPr>
            <w:tcW w:w="1275" w:type="dxa"/>
            <w:tcBorders>
              <w:top w:val="single" w:sz="6" w:space="0" w:color="auto"/>
              <w:left w:val="single" w:sz="4" w:space="0" w:color="auto"/>
              <w:bottom w:val="single" w:sz="6" w:space="0" w:color="auto"/>
              <w:right w:val="single" w:sz="4" w:space="0" w:color="auto"/>
            </w:tcBorders>
            <w:vAlign w:val="center"/>
            <w:hideMark/>
          </w:tcPr>
          <w:p w:rsidR="009A156F" w:rsidRDefault="00F4788D">
            <w:pPr>
              <w:widowControl w:val="0"/>
              <w:autoSpaceDE w:val="0"/>
              <w:autoSpaceDN w:val="0"/>
              <w:adjustRightInd w:val="0"/>
              <w:spacing w:after="200" w:line="276" w:lineRule="auto"/>
              <w:jc w:val="center"/>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2023</w:t>
            </w:r>
          </w:p>
        </w:tc>
        <w:tc>
          <w:tcPr>
            <w:tcW w:w="1266" w:type="dxa"/>
            <w:tcBorders>
              <w:top w:val="single" w:sz="6" w:space="0" w:color="auto"/>
              <w:left w:val="single" w:sz="4" w:space="0" w:color="auto"/>
              <w:bottom w:val="single" w:sz="6" w:space="0" w:color="auto"/>
              <w:right w:val="single" w:sz="6" w:space="0" w:color="auto"/>
            </w:tcBorders>
            <w:vAlign w:val="center"/>
            <w:hideMark/>
          </w:tcPr>
          <w:p w:rsidR="009A156F" w:rsidRDefault="00F4788D">
            <w:pPr>
              <w:widowControl w:val="0"/>
              <w:autoSpaceDE w:val="0"/>
              <w:autoSpaceDN w:val="0"/>
              <w:adjustRightInd w:val="0"/>
              <w:spacing w:after="200" w:line="276" w:lineRule="auto"/>
              <w:jc w:val="center"/>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2024</w:t>
            </w:r>
          </w:p>
        </w:tc>
      </w:tr>
      <w:tr w:rsidR="009A156F" w:rsidTr="00267B1D">
        <w:trPr>
          <w:gridAfter w:val="1"/>
          <w:wAfter w:w="8" w:type="dxa"/>
          <w:trHeight w:val="898"/>
        </w:trPr>
        <w:tc>
          <w:tcPr>
            <w:tcW w:w="2578" w:type="dxa"/>
            <w:vMerge/>
            <w:tcBorders>
              <w:top w:val="single" w:sz="6" w:space="0" w:color="auto"/>
              <w:left w:val="single" w:sz="6" w:space="0" w:color="auto"/>
              <w:bottom w:val="single" w:sz="6" w:space="0" w:color="auto"/>
              <w:right w:val="single" w:sz="6" w:space="0" w:color="auto"/>
            </w:tcBorders>
            <w:vAlign w:val="center"/>
            <w:hideMark/>
          </w:tcPr>
          <w:p w:rsidR="009A156F" w:rsidRDefault="009A156F">
            <w:pPr>
              <w:spacing w:after="0" w:line="240" w:lineRule="auto"/>
              <w:rPr>
                <w:rFonts w:ascii="Times New Roman" w:eastAsia="Times New Roman" w:hAnsi="Times New Roman" w:cs="Times New Roman"/>
                <w:bCs/>
                <w:sz w:val="26"/>
                <w:szCs w:val="26"/>
                <w:lang w:eastAsia="ru-RU"/>
              </w:rPr>
            </w:pPr>
          </w:p>
        </w:tc>
        <w:tc>
          <w:tcPr>
            <w:tcW w:w="1274" w:type="dxa"/>
            <w:tcBorders>
              <w:top w:val="single" w:sz="6" w:space="0" w:color="auto"/>
              <w:left w:val="single" w:sz="6" w:space="0" w:color="auto"/>
              <w:bottom w:val="single" w:sz="6" w:space="0" w:color="auto"/>
              <w:right w:val="single" w:sz="6" w:space="0" w:color="auto"/>
            </w:tcBorders>
            <w:vAlign w:val="center"/>
            <w:hideMark/>
          </w:tcPr>
          <w:p w:rsidR="009A156F" w:rsidRPr="00F4788D" w:rsidRDefault="009A156F">
            <w:pPr>
              <w:widowControl w:val="0"/>
              <w:autoSpaceDE w:val="0"/>
              <w:autoSpaceDN w:val="0"/>
              <w:adjustRightInd w:val="0"/>
              <w:spacing w:after="200" w:line="276" w:lineRule="auto"/>
              <w:jc w:val="center"/>
              <w:rPr>
                <w:rFonts w:ascii="Times New Roman" w:eastAsia="Times New Roman" w:hAnsi="Times New Roman" w:cs="Times New Roman"/>
                <w:sz w:val="24"/>
                <w:szCs w:val="26"/>
                <w:lang w:eastAsia="ru-RU"/>
              </w:rPr>
            </w:pPr>
            <w:r w:rsidRPr="00F4788D">
              <w:rPr>
                <w:rFonts w:ascii="Times New Roman" w:eastAsia="Times New Roman" w:hAnsi="Times New Roman" w:cs="Times New Roman"/>
                <w:sz w:val="24"/>
                <w:szCs w:val="26"/>
                <w:lang w:eastAsia="ru-RU"/>
              </w:rPr>
              <w:t>Внебюджетные источники</w:t>
            </w:r>
          </w:p>
        </w:tc>
        <w:tc>
          <w:tcPr>
            <w:tcW w:w="2126" w:type="dxa"/>
            <w:tcBorders>
              <w:top w:val="single" w:sz="6" w:space="0" w:color="auto"/>
              <w:left w:val="single" w:sz="6" w:space="0" w:color="auto"/>
              <w:bottom w:val="single" w:sz="6" w:space="0" w:color="auto"/>
              <w:right w:val="single" w:sz="6" w:space="0" w:color="auto"/>
            </w:tcBorders>
            <w:vAlign w:val="center"/>
          </w:tcPr>
          <w:p w:rsidR="009A156F" w:rsidRPr="00F4788D" w:rsidRDefault="000B63D9">
            <w:pPr>
              <w:widowControl w:val="0"/>
              <w:autoSpaceDE w:val="0"/>
              <w:autoSpaceDN w:val="0"/>
              <w:adjustRightInd w:val="0"/>
              <w:spacing w:after="200" w:line="276" w:lineRule="auto"/>
              <w:jc w:val="center"/>
              <w:rPr>
                <w:rFonts w:ascii="Times New Roman" w:eastAsia="Times New Roman" w:hAnsi="Times New Roman" w:cs="Times New Roman"/>
                <w:bCs/>
                <w:sz w:val="24"/>
                <w:szCs w:val="26"/>
                <w:lang w:eastAsia="ru-RU"/>
              </w:rPr>
            </w:pPr>
            <w:r>
              <w:rPr>
                <w:rFonts w:ascii="Times New Roman" w:eastAsia="Times New Roman" w:hAnsi="Times New Roman" w:cs="Times New Roman"/>
                <w:bCs/>
                <w:sz w:val="24"/>
                <w:szCs w:val="26"/>
                <w:lang w:eastAsia="ru-RU"/>
              </w:rPr>
              <w:t>34147,65</w:t>
            </w:r>
          </w:p>
        </w:tc>
        <w:tc>
          <w:tcPr>
            <w:tcW w:w="1133" w:type="dxa"/>
            <w:tcBorders>
              <w:top w:val="single" w:sz="6" w:space="0" w:color="auto"/>
              <w:left w:val="single" w:sz="6" w:space="0" w:color="auto"/>
              <w:bottom w:val="single" w:sz="6" w:space="0" w:color="auto"/>
              <w:right w:val="single" w:sz="4" w:space="0" w:color="auto"/>
            </w:tcBorders>
            <w:vAlign w:val="center"/>
            <w:hideMark/>
          </w:tcPr>
          <w:p w:rsidR="009A156F" w:rsidRPr="00267B1D" w:rsidRDefault="00F4788D">
            <w:pPr>
              <w:widowControl w:val="0"/>
              <w:autoSpaceDE w:val="0"/>
              <w:autoSpaceDN w:val="0"/>
              <w:adjustRightInd w:val="0"/>
              <w:spacing w:after="200" w:line="276" w:lineRule="auto"/>
              <w:jc w:val="center"/>
              <w:rPr>
                <w:rFonts w:ascii="Times New Roman" w:eastAsia="Times New Roman" w:hAnsi="Times New Roman" w:cs="Times New Roman"/>
                <w:bCs/>
                <w:sz w:val="24"/>
                <w:szCs w:val="24"/>
                <w:lang w:eastAsia="ru-RU"/>
              </w:rPr>
            </w:pPr>
            <w:r w:rsidRPr="00267B1D">
              <w:rPr>
                <w:rFonts w:ascii="Times New Roman" w:eastAsia="Times New Roman" w:hAnsi="Times New Roman" w:cs="Times New Roman"/>
                <w:bCs/>
                <w:sz w:val="24"/>
                <w:szCs w:val="24"/>
                <w:lang w:eastAsia="ru-RU"/>
              </w:rPr>
              <w:t>9043,65</w:t>
            </w:r>
          </w:p>
        </w:tc>
        <w:tc>
          <w:tcPr>
            <w:tcW w:w="1275" w:type="dxa"/>
            <w:tcBorders>
              <w:top w:val="single" w:sz="6" w:space="0" w:color="auto"/>
              <w:left w:val="single" w:sz="4" w:space="0" w:color="auto"/>
              <w:bottom w:val="single" w:sz="6" w:space="0" w:color="auto"/>
              <w:right w:val="single" w:sz="4" w:space="0" w:color="auto"/>
            </w:tcBorders>
            <w:vAlign w:val="center"/>
          </w:tcPr>
          <w:p w:rsidR="009A156F" w:rsidRPr="00F4788D" w:rsidRDefault="00267B1D">
            <w:pPr>
              <w:widowControl w:val="0"/>
              <w:autoSpaceDE w:val="0"/>
              <w:autoSpaceDN w:val="0"/>
              <w:adjustRightInd w:val="0"/>
              <w:spacing w:after="200" w:line="276" w:lineRule="auto"/>
              <w:jc w:val="center"/>
              <w:rPr>
                <w:rFonts w:ascii="Times New Roman" w:eastAsia="Times New Roman" w:hAnsi="Times New Roman" w:cs="Times New Roman"/>
                <w:bCs/>
                <w:sz w:val="24"/>
                <w:szCs w:val="26"/>
                <w:lang w:eastAsia="ru-RU"/>
              </w:rPr>
            </w:pPr>
            <w:r>
              <w:rPr>
                <w:rFonts w:ascii="Times New Roman" w:eastAsia="Times New Roman" w:hAnsi="Times New Roman" w:cs="Times New Roman"/>
                <w:bCs/>
                <w:sz w:val="24"/>
                <w:szCs w:val="26"/>
                <w:lang w:eastAsia="ru-RU"/>
              </w:rPr>
              <w:t>11382,6</w:t>
            </w:r>
          </w:p>
        </w:tc>
        <w:tc>
          <w:tcPr>
            <w:tcW w:w="1266" w:type="dxa"/>
            <w:tcBorders>
              <w:top w:val="single" w:sz="6" w:space="0" w:color="auto"/>
              <w:left w:val="single" w:sz="6" w:space="0" w:color="auto"/>
              <w:bottom w:val="single" w:sz="6" w:space="0" w:color="auto"/>
              <w:right w:val="single" w:sz="4" w:space="0" w:color="auto"/>
            </w:tcBorders>
            <w:vAlign w:val="center"/>
          </w:tcPr>
          <w:p w:rsidR="009A156F" w:rsidRPr="00F4788D" w:rsidRDefault="00267B1D">
            <w:pPr>
              <w:widowControl w:val="0"/>
              <w:autoSpaceDE w:val="0"/>
              <w:autoSpaceDN w:val="0"/>
              <w:adjustRightInd w:val="0"/>
              <w:spacing w:after="200" w:line="276" w:lineRule="auto"/>
              <w:jc w:val="center"/>
              <w:rPr>
                <w:rFonts w:ascii="Times New Roman" w:eastAsia="Times New Roman" w:hAnsi="Times New Roman" w:cs="Times New Roman"/>
                <w:bCs/>
                <w:sz w:val="24"/>
                <w:szCs w:val="26"/>
                <w:lang w:eastAsia="ru-RU"/>
              </w:rPr>
            </w:pPr>
            <w:r>
              <w:rPr>
                <w:rFonts w:ascii="Times New Roman" w:eastAsia="Times New Roman" w:hAnsi="Times New Roman" w:cs="Times New Roman"/>
                <w:bCs/>
                <w:sz w:val="24"/>
                <w:szCs w:val="26"/>
                <w:lang w:eastAsia="ru-RU"/>
              </w:rPr>
              <w:t>13721,4</w:t>
            </w:r>
          </w:p>
        </w:tc>
      </w:tr>
      <w:tr w:rsidR="00267B1D" w:rsidRPr="00267B1D" w:rsidTr="00267B1D">
        <w:trPr>
          <w:gridAfter w:val="1"/>
          <w:wAfter w:w="8" w:type="dxa"/>
          <w:trHeight w:val="484"/>
        </w:trPr>
        <w:tc>
          <w:tcPr>
            <w:tcW w:w="2578" w:type="dxa"/>
            <w:vMerge/>
            <w:tcBorders>
              <w:top w:val="single" w:sz="6" w:space="0" w:color="auto"/>
              <w:left w:val="single" w:sz="6" w:space="0" w:color="auto"/>
              <w:bottom w:val="single" w:sz="6" w:space="0" w:color="auto"/>
              <w:right w:val="single" w:sz="6" w:space="0" w:color="auto"/>
            </w:tcBorders>
            <w:vAlign w:val="center"/>
            <w:hideMark/>
          </w:tcPr>
          <w:p w:rsidR="00267B1D" w:rsidRDefault="00267B1D">
            <w:pPr>
              <w:spacing w:after="0" w:line="240" w:lineRule="auto"/>
              <w:rPr>
                <w:rFonts w:ascii="Times New Roman" w:eastAsia="Times New Roman" w:hAnsi="Times New Roman" w:cs="Times New Roman"/>
                <w:bCs/>
                <w:sz w:val="26"/>
                <w:szCs w:val="26"/>
                <w:lang w:eastAsia="ru-RU"/>
              </w:rPr>
            </w:pPr>
          </w:p>
        </w:tc>
        <w:tc>
          <w:tcPr>
            <w:tcW w:w="1274" w:type="dxa"/>
            <w:tcBorders>
              <w:top w:val="single" w:sz="6" w:space="0" w:color="auto"/>
              <w:left w:val="single" w:sz="6" w:space="0" w:color="auto"/>
              <w:bottom w:val="single" w:sz="6" w:space="0" w:color="auto"/>
              <w:right w:val="single" w:sz="6" w:space="0" w:color="auto"/>
            </w:tcBorders>
            <w:vAlign w:val="center"/>
            <w:hideMark/>
          </w:tcPr>
          <w:p w:rsidR="00267B1D" w:rsidRDefault="00267B1D">
            <w:pPr>
              <w:widowControl w:val="0"/>
              <w:autoSpaceDE w:val="0"/>
              <w:autoSpaceDN w:val="0"/>
              <w:adjustRightInd w:val="0"/>
              <w:spacing w:after="200" w:line="276"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ФБ, РБ</w:t>
            </w:r>
          </w:p>
        </w:tc>
        <w:tc>
          <w:tcPr>
            <w:tcW w:w="2126" w:type="dxa"/>
            <w:tcBorders>
              <w:top w:val="single" w:sz="6" w:space="0" w:color="auto"/>
              <w:left w:val="single" w:sz="6" w:space="0" w:color="auto"/>
              <w:bottom w:val="single" w:sz="6" w:space="0" w:color="auto"/>
              <w:right w:val="single" w:sz="6" w:space="0" w:color="auto"/>
            </w:tcBorders>
            <w:vAlign w:val="center"/>
          </w:tcPr>
          <w:p w:rsidR="00267B1D" w:rsidRDefault="000B63D9">
            <w:pPr>
              <w:widowControl w:val="0"/>
              <w:autoSpaceDE w:val="0"/>
              <w:autoSpaceDN w:val="0"/>
              <w:adjustRightInd w:val="0"/>
              <w:spacing w:after="200" w:line="276"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11382,55</w:t>
            </w:r>
          </w:p>
        </w:tc>
        <w:tc>
          <w:tcPr>
            <w:tcW w:w="1133" w:type="dxa"/>
            <w:tcBorders>
              <w:top w:val="single" w:sz="6" w:space="0" w:color="auto"/>
              <w:left w:val="single" w:sz="6" w:space="0" w:color="auto"/>
              <w:bottom w:val="single" w:sz="6" w:space="0" w:color="auto"/>
              <w:right w:val="single" w:sz="4" w:space="0" w:color="auto"/>
            </w:tcBorders>
            <w:vAlign w:val="center"/>
            <w:hideMark/>
          </w:tcPr>
          <w:p w:rsidR="00267B1D" w:rsidRPr="00267B1D" w:rsidRDefault="00267B1D">
            <w:pPr>
              <w:spacing w:after="200" w:line="276" w:lineRule="auto"/>
              <w:jc w:val="center"/>
              <w:rPr>
                <w:rFonts w:ascii="Times New Roman" w:eastAsia="Times New Roman" w:hAnsi="Times New Roman" w:cs="Times New Roman"/>
                <w:sz w:val="24"/>
                <w:szCs w:val="24"/>
                <w:lang w:eastAsia="ru-RU"/>
              </w:rPr>
            </w:pPr>
            <w:r w:rsidRPr="00267B1D">
              <w:rPr>
                <w:rFonts w:ascii="Times New Roman" w:eastAsia="Times New Roman" w:hAnsi="Times New Roman" w:cs="Times New Roman"/>
                <w:sz w:val="24"/>
                <w:szCs w:val="24"/>
                <w:lang w:eastAsia="ru-RU"/>
              </w:rPr>
              <w:t>3014,55</w:t>
            </w:r>
          </w:p>
        </w:tc>
        <w:tc>
          <w:tcPr>
            <w:tcW w:w="1275" w:type="dxa"/>
            <w:tcBorders>
              <w:top w:val="single" w:sz="6" w:space="0" w:color="auto"/>
              <w:left w:val="single" w:sz="4" w:space="0" w:color="auto"/>
              <w:bottom w:val="single" w:sz="6" w:space="0" w:color="auto"/>
              <w:right w:val="single" w:sz="4" w:space="0" w:color="auto"/>
            </w:tcBorders>
            <w:vAlign w:val="bottom"/>
          </w:tcPr>
          <w:p w:rsidR="00267B1D" w:rsidRPr="00267B1D" w:rsidRDefault="00267B1D" w:rsidP="00267B1D">
            <w:pPr>
              <w:jc w:val="center"/>
              <w:rPr>
                <w:rFonts w:ascii="Times New Roman" w:hAnsi="Times New Roman" w:cs="Times New Roman"/>
                <w:sz w:val="24"/>
                <w:szCs w:val="16"/>
              </w:rPr>
            </w:pPr>
            <w:r w:rsidRPr="00267B1D">
              <w:rPr>
                <w:rFonts w:ascii="Times New Roman" w:hAnsi="Times New Roman" w:cs="Times New Roman"/>
                <w:sz w:val="24"/>
                <w:szCs w:val="16"/>
              </w:rPr>
              <w:t>3794,20</w:t>
            </w:r>
          </w:p>
        </w:tc>
        <w:tc>
          <w:tcPr>
            <w:tcW w:w="1266" w:type="dxa"/>
            <w:tcBorders>
              <w:top w:val="single" w:sz="6" w:space="0" w:color="auto"/>
              <w:left w:val="single" w:sz="6" w:space="0" w:color="auto"/>
              <w:bottom w:val="single" w:sz="6" w:space="0" w:color="auto"/>
              <w:right w:val="single" w:sz="4" w:space="0" w:color="auto"/>
            </w:tcBorders>
            <w:vAlign w:val="bottom"/>
          </w:tcPr>
          <w:p w:rsidR="00267B1D" w:rsidRPr="00267B1D" w:rsidRDefault="00267B1D" w:rsidP="00267B1D">
            <w:pPr>
              <w:jc w:val="center"/>
              <w:rPr>
                <w:rFonts w:ascii="Times New Roman" w:hAnsi="Times New Roman" w:cs="Times New Roman"/>
                <w:sz w:val="24"/>
                <w:szCs w:val="16"/>
              </w:rPr>
            </w:pPr>
            <w:r w:rsidRPr="00267B1D">
              <w:rPr>
                <w:rFonts w:ascii="Times New Roman" w:hAnsi="Times New Roman" w:cs="Times New Roman"/>
                <w:sz w:val="24"/>
                <w:szCs w:val="16"/>
              </w:rPr>
              <w:t>4573,80</w:t>
            </w:r>
          </w:p>
        </w:tc>
      </w:tr>
      <w:tr w:rsidR="00267B1D" w:rsidTr="00267B1D">
        <w:tc>
          <w:tcPr>
            <w:tcW w:w="2578" w:type="dxa"/>
            <w:vMerge/>
            <w:tcBorders>
              <w:top w:val="single" w:sz="6" w:space="0" w:color="auto"/>
              <w:left w:val="single" w:sz="6" w:space="0" w:color="auto"/>
              <w:bottom w:val="single" w:sz="6" w:space="0" w:color="auto"/>
              <w:right w:val="single" w:sz="6" w:space="0" w:color="auto"/>
            </w:tcBorders>
            <w:vAlign w:val="center"/>
            <w:hideMark/>
          </w:tcPr>
          <w:p w:rsidR="00267B1D" w:rsidRDefault="00267B1D">
            <w:pPr>
              <w:spacing w:after="0" w:line="240" w:lineRule="auto"/>
              <w:rPr>
                <w:rFonts w:ascii="Times New Roman" w:eastAsia="Times New Roman" w:hAnsi="Times New Roman" w:cs="Times New Roman"/>
                <w:bCs/>
                <w:sz w:val="26"/>
                <w:szCs w:val="26"/>
                <w:lang w:eastAsia="ru-RU"/>
              </w:rPr>
            </w:pPr>
          </w:p>
        </w:tc>
        <w:tc>
          <w:tcPr>
            <w:tcW w:w="1274" w:type="dxa"/>
            <w:tcBorders>
              <w:top w:val="single" w:sz="6" w:space="0" w:color="auto"/>
              <w:left w:val="single" w:sz="6" w:space="0" w:color="auto"/>
              <w:bottom w:val="single" w:sz="6" w:space="0" w:color="auto"/>
              <w:right w:val="single" w:sz="6" w:space="0" w:color="auto"/>
            </w:tcBorders>
            <w:vAlign w:val="center"/>
            <w:hideMark/>
          </w:tcPr>
          <w:p w:rsidR="00267B1D" w:rsidRDefault="00267B1D">
            <w:pPr>
              <w:widowControl w:val="0"/>
              <w:autoSpaceDE w:val="0"/>
              <w:autoSpaceDN w:val="0"/>
              <w:adjustRightInd w:val="0"/>
              <w:spacing w:after="200" w:line="276"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4"/>
                <w:szCs w:val="26"/>
                <w:lang w:eastAsia="ru-RU"/>
              </w:rPr>
              <w:t>Местный бюджет</w:t>
            </w:r>
          </w:p>
        </w:tc>
        <w:tc>
          <w:tcPr>
            <w:tcW w:w="2126" w:type="dxa"/>
            <w:tcBorders>
              <w:top w:val="single" w:sz="6" w:space="0" w:color="auto"/>
              <w:left w:val="single" w:sz="6" w:space="0" w:color="auto"/>
              <w:bottom w:val="single" w:sz="6" w:space="0" w:color="auto"/>
              <w:right w:val="single" w:sz="6" w:space="0" w:color="auto"/>
            </w:tcBorders>
            <w:vAlign w:val="center"/>
          </w:tcPr>
          <w:p w:rsidR="00267B1D" w:rsidRDefault="000B63D9">
            <w:pPr>
              <w:widowControl w:val="0"/>
              <w:autoSpaceDE w:val="0"/>
              <w:autoSpaceDN w:val="0"/>
              <w:adjustRightInd w:val="0"/>
              <w:spacing w:after="200" w:line="276"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569,13</w:t>
            </w:r>
          </w:p>
        </w:tc>
        <w:tc>
          <w:tcPr>
            <w:tcW w:w="1133" w:type="dxa"/>
            <w:tcBorders>
              <w:top w:val="single" w:sz="6" w:space="0" w:color="auto"/>
              <w:left w:val="single" w:sz="6" w:space="0" w:color="auto"/>
              <w:bottom w:val="single" w:sz="6" w:space="0" w:color="auto"/>
              <w:right w:val="single" w:sz="4" w:space="0" w:color="auto"/>
            </w:tcBorders>
            <w:vAlign w:val="center"/>
            <w:hideMark/>
          </w:tcPr>
          <w:p w:rsidR="00267B1D" w:rsidRPr="00267B1D" w:rsidRDefault="00267B1D">
            <w:pPr>
              <w:spacing w:after="200" w:line="276" w:lineRule="auto"/>
              <w:jc w:val="center"/>
              <w:rPr>
                <w:rFonts w:ascii="Times New Roman" w:eastAsia="Times New Roman" w:hAnsi="Times New Roman" w:cs="Times New Roman"/>
                <w:sz w:val="24"/>
                <w:szCs w:val="24"/>
                <w:lang w:eastAsia="ru-RU"/>
              </w:rPr>
            </w:pPr>
            <w:r w:rsidRPr="00267B1D">
              <w:rPr>
                <w:rFonts w:ascii="Times New Roman" w:eastAsia="Times New Roman" w:hAnsi="Times New Roman" w:cs="Times New Roman"/>
                <w:sz w:val="24"/>
                <w:szCs w:val="24"/>
                <w:lang w:eastAsia="ru-RU"/>
              </w:rPr>
              <w:t>150,73</w:t>
            </w:r>
          </w:p>
        </w:tc>
        <w:tc>
          <w:tcPr>
            <w:tcW w:w="1275" w:type="dxa"/>
            <w:tcBorders>
              <w:top w:val="single" w:sz="6" w:space="0" w:color="auto"/>
              <w:left w:val="single" w:sz="4" w:space="0" w:color="auto"/>
              <w:bottom w:val="single" w:sz="6" w:space="0" w:color="auto"/>
              <w:right w:val="single" w:sz="4" w:space="0" w:color="auto"/>
            </w:tcBorders>
            <w:vAlign w:val="bottom"/>
          </w:tcPr>
          <w:p w:rsidR="00267B1D" w:rsidRPr="00267B1D" w:rsidRDefault="00267B1D" w:rsidP="00267B1D">
            <w:pPr>
              <w:jc w:val="center"/>
              <w:rPr>
                <w:rFonts w:ascii="Times New Roman" w:hAnsi="Times New Roman" w:cs="Times New Roman"/>
                <w:sz w:val="24"/>
                <w:szCs w:val="16"/>
              </w:rPr>
            </w:pPr>
            <w:r w:rsidRPr="00267B1D">
              <w:rPr>
                <w:rFonts w:ascii="Times New Roman" w:hAnsi="Times New Roman" w:cs="Times New Roman"/>
                <w:sz w:val="24"/>
                <w:szCs w:val="16"/>
              </w:rPr>
              <w:t>189,71</w:t>
            </w:r>
          </w:p>
        </w:tc>
        <w:tc>
          <w:tcPr>
            <w:tcW w:w="1274" w:type="dxa"/>
            <w:gridSpan w:val="2"/>
            <w:tcBorders>
              <w:top w:val="single" w:sz="6" w:space="0" w:color="auto"/>
              <w:left w:val="single" w:sz="6" w:space="0" w:color="auto"/>
              <w:bottom w:val="single" w:sz="6" w:space="0" w:color="auto"/>
              <w:right w:val="single" w:sz="4" w:space="0" w:color="auto"/>
            </w:tcBorders>
            <w:vAlign w:val="bottom"/>
          </w:tcPr>
          <w:p w:rsidR="00267B1D" w:rsidRPr="00267B1D" w:rsidRDefault="00267B1D" w:rsidP="00267B1D">
            <w:pPr>
              <w:jc w:val="center"/>
              <w:rPr>
                <w:rFonts w:ascii="Times New Roman" w:hAnsi="Times New Roman" w:cs="Times New Roman"/>
                <w:sz w:val="24"/>
                <w:szCs w:val="16"/>
              </w:rPr>
            </w:pPr>
            <w:r w:rsidRPr="00267B1D">
              <w:rPr>
                <w:rFonts w:ascii="Times New Roman" w:hAnsi="Times New Roman" w:cs="Times New Roman"/>
                <w:sz w:val="24"/>
                <w:szCs w:val="16"/>
              </w:rPr>
              <w:t>228,69</w:t>
            </w:r>
          </w:p>
        </w:tc>
      </w:tr>
      <w:tr w:rsidR="009A156F" w:rsidTr="00267B1D">
        <w:tc>
          <w:tcPr>
            <w:tcW w:w="2578" w:type="dxa"/>
            <w:vMerge/>
            <w:tcBorders>
              <w:top w:val="single" w:sz="6" w:space="0" w:color="auto"/>
              <w:left w:val="single" w:sz="6" w:space="0" w:color="auto"/>
              <w:bottom w:val="single" w:sz="6" w:space="0" w:color="auto"/>
              <w:right w:val="single" w:sz="6" w:space="0" w:color="auto"/>
            </w:tcBorders>
            <w:vAlign w:val="center"/>
            <w:hideMark/>
          </w:tcPr>
          <w:p w:rsidR="009A156F" w:rsidRDefault="009A156F">
            <w:pPr>
              <w:spacing w:after="0" w:line="240" w:lineRule="auto"/>
              <w:rPr>
                <w:rFonts w:ascii="Times New Roman" w:eastAsia="Times New Roman" w:hAnsi="Times New Roman" w:cs="Times New Roman"/>
                <w:bCs/>
                <w:sz w:val="26"/>
                <w:szCs w:val="26"/>
                <w:lang w:eastAsia="ru-RU"/>
              </w:rPr>
            </w:pPr>
          </w:p>
        </w:tc>
        <w:tc>
          <w:tcPr>
            <w:tcW w:w="1274" w:type="dxa"/>
            <w:tcBorders>
              <w:top w:val="single" w:sz="6" w:space="0" w:color="auto"/>
              <w:left w:val="single" w:sz="6" w:space="0" w:color="auto"/>
              <w:bottom w:val="single" w:sz="6" w:space="0" w:color="auto"/>
              <w:right w:val="single" w:sz="6" w:space="0" w:color="auto"/>
            </w:tcBorders>
            <w:vAlign w:val="center"/>
            <w:hideMark/>
          </w:tcPr>
          <w:p w:rsidR="009A156F" w:rsidRDefault="009A156F">
            <w:pPr>
              <w:widowControl w:val="0"/>
              <w:autoSpaceDE w:val="0"/>
              <w:autoSpaceDN w:val="0"/>
              <w:adjustRightInd w:val="0"/>
              <w:spacing w:after="200" w:line="276" w:lineRule="auto"/>
              <w:jc w:val="center"/>
              <w:rPr>
                <w:rFonts w:ascii="Times New Roman" w:eastAsia="Times New Roman" w:hAnsi="Times New Roman" w:cs="Times New Roman"/>
                <w:b/>
                <w:sz w:val="24"/>
                <w:szCs w:val="26"/>
                <w:lang w:eastAsia="ru-RU"/>
              </w:rPr>
            </w:pPr>
            <w:r>
              <w:rPr>
                <w:rFonts w:ascii="Times New Roman" w:eastAsia="Times New Roman" w:hAnsi="Times New Roman" w:cs="Times New Roman"/>
                <w:b/>
                <w:sz w:val="24"/>
                <w:szCs w:val="26"/>
                <w:lang w:eastAsia="ru-RU"/>
              </w:rPr>
              <w:t>Итого:</w:t>
            </w:r>
          </w:p>
        </w:tc>
        <w:tc>
          <w:tcPr>
            <w:tcW w:w="2126" w:type="dxa"/>
            <w:tcBorders>
              <w:top w:val="single" w:sz="6" w:space="0" w:color="auto"/>
              <w:left w:val="single" w:sz="6" w:space="0" w:color="auto"/>
              <w:bottom w:val="single" w:sz="6" w:space="0" w:color="auto"/>
              <w:right w:val="single" w:sz="6" w:space="0" w:color="auto"/>
            </w:tcBorders>
            <w:vAlign w:val="center"/>
          </w:tcPr>
          <w:p w:rsidR="009A156F" w:rsidRPr="000B63D9" w:rsidRDefault="000B63D9">
            <w:pPr>
              <w:spacing w:after="200" w:line="276" w:lineRule="auto"/>
              <w:jc w:val="center"/>
              <w:rPr>
                <w:rFonts w:ascii="Times New Roman" w:eastAsia="Times New Roman" w:hAnsi="Times New Roman" w:cs="Times New Roman"/>
                <w:b/>
                <w:sz w:val="24"/>
                <w:szCs w:val="24"/>
                <w:lang w:eastAsia="ru-RU"/>
              </w:rPr>
            </w:pPr>
            <w:r w:rsidRPr="000B63D9">
              <w:rPr>
                <w:rFonts w:ascii="Times New Roman" w:eastAsia="Times New Roman" w:hAnsi="Times New Roman" w:cs="Times New Roman"/>
                <w:b/>
                <w:sz w:val="24"/>
                <w:szCs w:val="24"/>
                <w:lang w:eastAsia="ru-RU"/>
              </w:rPr>
              <w:t>46099,3</w:t>
            </w:r>
          </w:p>
        </w:tc>
        <w:tc>
          <w:tcPr>
            <w:tcW w:w="1133" w:type="dxa"/>
            <w:tcBorders>
              <w:top w:val="single" w:sz="6" w:space="0" w:color="auto"/>
              <w:left w:val="single" w:sz="6" w:space="0" w:color="auto"/>
              <w:bottom w:val="single" w:sz="6" w:space="0" w:color="auto"/>
              <w:right w:val="single" w:sz="4" w:space="0" w:color="auto"/>
            </w:tcBorders>
            <w:vAlign w:val="center"/>
            <w:hideMark/>
          </w:tcPr>
          <w:p w:rsidR="009A156F" w:rsidRPr="00267B1D" w:rsidRDefault="00F4788D">
            <w:pPr>
              <w:spacing w:after="200" w:line="276" w:lineRule="auto"/>
              <w:jc w:val="center"/>
              <w:rPr>
                <w:rFonts w:ascii="Times New Roman" w:eastAsia="Times New Roman" w:hAnsi="Times New Roman" w:cs="Times New Roman"/>
                <w:b/>
                <w:sz w:val="24"/>
                <w:szCs w:val="24"/>
                <w:lang w:eastAsia="ru-RU"/>
              </w:rPr>
            </w:pPr>
            <w:r w:rsidRPr="00267B1D">
              <w:rPr>
                <w:rFonts w:ascii="Times New Roman" w:eastAsia="Times New Roman" w:hAnsi="Times New Roman" w:cs="Times New Roman"/>
                <w:b/>
                <w:sz w:val="24"/>
                <w:szCs w:val="24"/>
                <w:lang w:eastAsia="ru-RU"/>
              </w:rPr>
              <w:t>12208,9</w:t>
            </w:r>
          </w:p>
        </w:tc>
        <w:tc>
          <w:tcPr>
            <w:tcW w:w="1275" w:type="dxa"/>
            <w:tcBorders>
              <w:top w:val="single" w:sz="6" w:space="0" w:color="auto"/>
              <w:left w:val="single" w:sz="4" w:space="0" w:color="auto"/>
              <w:bottom w:val="single" w:sz="6" w:space="0" w:color="auto"/>
              <w:right w:val="single" w:sz="4" w:space="0" w:color="auto"/>
            </w:tcBorders>
            <w:vAlign w:val="center"/>
          </w:tcPr>
          <w:p w:rsidR="009A156F" w:rsidRPr="00267B1D" w:rsidRDefault="00267B1D">
            <w:pPr>
              <w:spacing w:after="200" w:line="276" w:lineRule="auto"/>
              <w:jc w:val="center"/>
              <w:rPr>
                <w:rFonts w:ascii="Times New Roman" w:eastAsia="Times New Roman" w:hAnsi="Times New Roman" w:cs="Times New Roman"/>
                <w:b/>
                <w:sz w:val="24"/>
                <w:szCs w:val="24"/>
                <w:lang w:eastAsia="ru-RU"/>
              </w:rPr>
            </w:pPr>
            <w:r w:rsidRPr="00267B1D">
              <w:rPr>
                <w:rFonts w:ascii="Times New Roman" w:eastAsia="Times New Roman" w:hAnsi="Times New Roman" w:cs="Times New Roman"/>
                <w:b/>
                <w:sz w:val="24"/>
                <w:szCs w:val="24"/>
                <w:lang w:eastAsia="ru-RU"/>
              </w:rPr>
              <w:t>15366,51</w:t>
            </w:r>
          </w:p>
        </w:tc>
        <w:tc>
          <w:tcPr>
            <w:tcW w:w="1274" w:type="dxa"/>
            <w:gridSpan w:val="2"/>
            <w:tcBorders>
              <w:top w:val="single" w:sz="6" w:space="0" w:color="auto"/>
              <w:left w:val="single" w:sz="4" w:space="0" w:color="auto"/>
              <w:bottom w:val="single" w:sz="6" w:space="0" w:color="auto"/>
              <w:right w:val="single" w:sz="6" w:space="0" w:color="auto"/>
            </w:tcBorders>
            <w:vAlign w:val="center"/>
          </w:tcPr>
          <w:p w:rsidR="009A156F" w:rsidRPr="00267B1D" w:rsidRDefault="00F62C06">
            <w:pPr>
              <w:spacing w:after="20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18523,89</w:t>
            </w:r>
          </w:p>
        </w:tc>
      </w:tr>
      <w:tr w:rsidR="009A156F" w:rsidTr="00267B1D">
        <w:trPr>
          <w:gridAfter w:val="1"/>
          <w:wAfter w:w="8" w:type="dxa"/>
        </w:trPr>
        <w:tc>
          <w:tcPr>
            <w:tcW w:w="2578" w:type="dxa"/>
            <w:tcBorders>
              <w:top w:val="single" w:sz="6" w:space="0" w:color="auto"/>
              <w:left w:val="single" w:sz="6" w:space="0" w:color="auto"/>
              <w:bottom w:val="single" w:sz="6" w:space="0" w:color="auto"/>
              <w:right w:val="single" w:sz="6" w:space="0" w:color="auto"/>
            </w:tcBorders>
            <w:hideMark/>
          </w:tcPr>
          <w:p w:rsidR="009A156F" w:rsidRDefault="009A156F">
            <w:pPr>
              <w:widowControl w:val="0"/>
              <w:autoSpaceDE w:val="0"/>
              <w:autoSpaceDN w:val="0"/>
              <w:adjustRightInd w:val="0"/>
              <w:spacing w:after="200" w:line="276" w:lineRule="auto"/>
              <w:rPr>
                <w:rFonts w:ascii="Times New Roman" w:eastAsia="Times New Roman" w:hAnsi="Times New Roman" w:cs="Times New Roman"/>
                <w:bCs/>
                <w:sz w:val="26"/>
                <w:szCs w:val="26"/>
                <w:lang w:eastAsia="ru-RU"/>
              </w:rPr>
            </w:pPr>
            <w:proofErr w:type="gramStart"/>
            <w:r>
              <w:rPr>
                <w:rFonts w:ascii="Times New Roman" w:eastAsia="Times New Roman" w:hAnsi="Times New Roman" w:cs="Times New Roman"/>
                <w:bCs/>
                <w:sz w:val="26"/>
                <w:szCs w:val="26"/>
                <w:lang w:eastAsia="ru-RU"/>
              </w:rPr>
              <w:t>Контроль за</w:t>
            </w:r>
            <w:proofErr w:type="gramEnd"/>
            <w:r>
              <w:rPr>
                <w:rFonts w:ascii="Times New Roman" w:eastAsia="Times New Roman" w:hAnsi="Times New Roman" w:cs="Times New Roman"/>
                <w:bCs/>
                <w:sz w:val="26"/>
                <w:szCs w:val="26"/>
                <w:lang w:eastAsia="ru-RU"/>
              </w:rPr>
              <w:t xml:space="preserve"> ходом реализации Программы</w:t>
            </w:r>
          </w:p>
        </w:tc>
        <w:tc>
          <w:tcPr>
            <w:tcW w:w="7074" w:type="dxa"/>
            <w:gridSpan w:val="5"/>
            <w:tcBorders>
              <w:top w:val="single" w:sz="6" w:space="0" w:color="auto"/>
              <w:left w:val="single" w:sz="6" w:space="0" w:color="auto"/>
              <w:bottom w:val="single" w:sz="6" w:space="0" w:color="auto"/>
              <w:right w:val="single" w:sz="6" w:space="0" w:color="auto"/>
            </w:tcBorders>
            <w:hideMark/>
          </w:tcPr>
          <w:p w:rsidR="009A156F" w:rsidRDefault="009A156F">
            <w:pPr>
              <w:widowControl w:val="0"/>
              <w:autoSpaceDE w:val="0"/>
              <w:autoSpaceDN w:val="0"/>
              <w:adjustRightInd w:val="0"/>
              <w:spacing w:after="200" w:line="276" w:lineRule="auto"/>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Контроль за</w:t>
            </w:r>
            <w:proofErr w:type="gramEnd"/>
            <w:r>
              <w:rPr>
                <w:rFonts w:ascii="Times New Roman" w:eastAsia="Times New Roman" w:hAnsi="Times New Roman" w:cs="Times New Roman"/>
                <w:sz w:val="26"/>
                <w:szCs w:val="26"/>
                <w:lang w:eastAsia="ru-RU"/>
              </w:rPr>
              <w:t xml:space="preserve"> реализацией подпрограммы осуществляют председатель муниципального района «Тере-Хольский кожуун Республики Тыва.</w:t>
            </w:r>
          </w:p>
        </w:tc>
      </w:tr>
    </w:tbl>
    <w:p w:rsidR="009A156F" w:rsidRDefault="009A156F" w:rsidP="009A156F">
      <w:pPr>
        <w:widowControl w:val="0"/>
        <w:autoSpaceDE w:val="0"/>
        <w:autoSpaceDN w:val="0"/>
        <w:adjustRightInd w:val="0"/>
        <w:spacing w:after="200" w:line="360" w:lineRule="auto"/>
        <w:jc w:val="center"/>
        <w:rPr>
          <w:rFonts w:ascii="Times New Roman" w:eastAsia="Times New Roman" w:hAnsi="Times New Roman" w:cs="Times New Roman"/>
          <w:b/>
          <w:sz w:val="26"/>
          <w:szCs w:val="26"/>
          <w:lang w:eastAsia="ru-RU"/>
        </w:rPr>
      </w:pPr>
    </w:p>
    <w:p w:rsidR="009A156F" w:rsidRDefault="009A156F" w:rsidP="009A156F">
      <w:pPr>
        <w:widowControl w:val="0"/>
        <w:autoSpaceDE w:val="0"/>
        <w:autoSpaceDN w:val="0"/>
        <w:adjustRightInd w:val="0"/>
        <w:spacing w:after="200" w:line="36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Пояснительная записка</w:t>
      </w:r>
    </w:p>
    <w:p w:rsidR="009A156F" w:rsidRDefault="009A156F" w:rsidP="009A156F">
      <w:pPr>
        <w:widowControl w:val="0"/>
        <w:autoSpaceDE w:val="0"/>
        <w:autoSpaceDN w:val="0"/>
        <w:adjustRightInd w:val="0"/>
        <w:spacing w:after="200" w:line="276" w:lineRule="auto"/>
        <w:jc w:val="center"/>
        <w:rPr>
          <w:rFonts w:ascii="Times New Roman" w:eastAsia="Times New Roman" w:hAnsi="Times New Roman" w:cs="Times New Roman"/>
          <w:bCs/>
          <w:sz w:val="26"/>
          <w:szCs w:val="26"/>
          <w:lang w:eastAsia="ru-RU"/>
        </w:rPr>
      </w:pPr>
      <w:r>
        <w:rPr>
          <w:rFonts w:ascii="Times New Roman" w:eastAsia="Times New Roman" w:hAnsi="Times New Roman" w:cs="Times New Roman"/>
          <w:sz w:val="26"/>
          <w:szCs w:val="26"/>
          <w:lang w:eastAsia="ru-RU"/>
        </w:rPr>
        <w:t>подпрограммы" Обеспечение жильем молодых семей в муниципальном образовании «Тере-Хольский</w:t>
      </w:r>
      <w:r w:rsidR="00C064F3">
        <w:rPr>
          <w:rFonts w:ascii="Times New Roman" w:eastAsia="Times New Roman" w:hAnsi="Times New Roman" w:cs="Times New Roman"/>
          <w:sz w:val="26"/>
          <w:szCs w:val="26"/>
          <w:lang w:eastAsia="ru-RU"/>
        </w:rPr>
        <w:t xml:space="preserve"> кожуун Республики Тыва» на 2022-2024</w:t>
      </w:r>
      <w:r>
        <w:rPr>
          <w:rFonts w:ascii="Times New Roman" w:eastAsia="Times New Roman" w:hAnsi="Times New Roman" w:cs="Times New Roman"/>
          <w:sz w:val="26"/>
          <w:szCs w:val="26"/>
          <w:lang w:eastAsia="ru-RU"/>
        </w:rPr>
        <w:t xml:space="preserve"> годы "</w:t>
      </w:r>
      <w:r>
        <w:rPr>
          <w:rFonts w:ascii="Times New Roman" w:eastAsia="Times New Roman" w:hAnsi="Times New Roman" w:cs="Times New Roman"/>
          <w:bCs/>
          <w:sz w:val="26"/>
          <w:szCs w:val="26"/>
          <w:lang w:eastAsia="ru-RU"/>
        </w:rPr>
        <w:t xml:space="preserve">     </w:t>
      </w:r>
    </w:p>
    <w:p w:rsidR="009A156F" w:rsidRDefault="009A156F" w:rsidP="009A156F">
      <w:pPr>
        <w:pStyle w:val="a3"/>
        <w:widowControl w:val="0"/>
        <w:numPr>
          <w:ilvl w:val="0"/>
          <w:numId w:val="1"/>
        </w:numPr>
        <w:autoSpaceDE w:val="0"/>
        <w:autoSpaceDN w:val="0"/>
        <w:adjustRightInd w:val="0"/>
        <w:spacing w:after="0" w:line="240" w:lineRule="auto"/>
        <w:jc w:val="center"/>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Общая характеристика сферы реализации Подпрограммы</w:t>
      </w:r>
    </w:p>
    <w:p w:rsidR="009A156F" w:rsidRDefault="009A156F" w:rsidP="009A156F">
      <w:pPr>
        <w:pStyle w:val="a3"/>
        <w:widowControl w:val="0"/>
        <w:autoSpaceDE w:val="0"/>
        <w:autoSpaceDN w:val="0"/>
        <w:adjustRightInd w:val="0"/>
        <w:spacing w:after="0" w:line="240" w:lineRule="auto"/>
        <w:ind w:left="1429"/>
        <w:rPr>
          <w:rFonts w:ascii="Times New Roman" w:eastAsia="Times New Roman" w:hAnsi="Times New Roman" w:cs="Times New Roman"/>
          <w:bCs/>
          <w:sz w:val="26"/>
          <w:szCs w:val="26"/>
          <w:lang w:eastAsia="ru-RU"/>
        </w:rPr>
      </w:pPr>
    </w:p>
    <w:p w:rsidR="009A156F" w:rsidRDefault="00C064F3"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В 2021</w:t>
      </w:r>
      <w:r w:rsidR="009A156F">
        <w:rPr>
          <w:rFonts w:ascii="Times New Roman" w:eastAsia="Times New Roman" w:hAnsi="Times New Roman" w:cs="Times New Roman"/>
          <w:bCs/>
          <w:sz w:val="26"/>
          <w:szCs w:val="26"/>
          <w:lang w:eastAsia="ru-RU"/>
        </w:rPr>
        <w:t xml:space="preserve"> году число молодых семей, являющихся участниками Подпрограммы</w:t>
      </w:r>
    </w:p>
    <w:p w:rsidR="009A156F" w:rsidRDefault="009A156F" w:rsidP="009A156F">
      <w:pPr>
        <w:widowControl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«Обеспечение жильем молодых семей» федеральной целевой программы «Жилище» на 2011-2015 годы, утвержденной постановлением Правительства Российской Федерации от 17. декабря 2010 г. № 1050, (дал</w:t>
      </w:r>
      <w:r w:rsidR="00C064F3">
        <w:rPr>
          <w:rFonts w:ascii="Times New Roman" w:eastAsia="Times New Roman" w:hAnsi="Times New Roman" w:cs="Times New Roman"/>
          <w:bCs/>
          <w:sz w:val="26"/>
          <w:szCs w:val="26"/>
          <w:lang w:eastAsia="ru-RU"/>
        </w:rPr>
        <w:t>ее – подпрограмма) составляло 28</w:t>
      </w:r>
      <w:r>
        <w:rPr>
          <w:rFonts w:ascii="Times New Roman" w:eastAsia="Times New Roman" w:hAnsi="Times New Roman" w:cs="Times New Roman"/>
          <w:bCs/>
          <w:sz w:val="26"/>
          <w:szCs w:val="26"/>
          <w:lang w:eastAsia="ru-RU"/>
        </w:rPr>
        <w:t>. Из них государственную поддержку в виде социальных выплат из средств федерального, республиканского и местных бюджет</w:t>
      </w:r>
      <w:r w:rsidR="00C064F3">
        <w:rPr>
          <w:rFonts w:ascii="Times New Roman" w:eastAsia="Times New Roman" w:hAnsi="Times New Roman" w:cs="Times New Roman"/>
          <w:bCs/>
          <w:sz w:val="26"/>
          <w:szCs w:val="26"/>
          <w:lang w:eastAsia="ru-RU"/>
        </w:rPr>
        <w:t>ов в отчетном периоде получили 3</w:t>
      </w:r>
      <w:r>
        <w:rPr>
          <w:rFonts w:ascii="Times New Roman" w:eastAsia="Times New Roman" w:hAnsi="Times New Roman" w:cs="Times New Roman"/>
          <w:bCs/>
          <w:sz w:val="26"/>
          <w:szCs w:val="26"/>
          <w:lang w:eastAsia="ru-RU"/>
        </w:rPr>
        <w:t xml:space="preserve"> молодые семьи, а объем средств, направленных на решение их</w:t>
      </w:r>
      <w:r w:rsidR="00C064F3">
        <w:rPr>
          <w:rFonts w:ascii="Times New Roman" w:eastAsia="Times New Roman" w:hAnsi="Times New Roman" w:cs="Times New Roman"/>
          <w:bCs/>
          <w:sz w:val="26"/>
          <w:szCs w:val="26"/>
          <w:lang w:eastAsia="ru-RU"/>
        </w:rPr>
        <w:t xml:space="preserve"> жилищных проблем, составил 2,1</w:t>
      </w:r>
      <w:r>
        <w:rPr>
          <w:rFonts w:ascii="Times New Roman" w:eastAsia="Times New Roman" w:hAnsi="Times New Roman" w:cs="Times New Roman"/>
          <w:bCs/>
          <w:sz w:val="26"/>
          <w:szCs w:val="26"/>
          <w:lang w:eastAsia="ru-RU"/>
        </w:rPr>
        <w:t xml:space="preserve"> млн. рублей.</w:t>
      </w:r>
    </w:p>
    <w:p w:rsidR="009A156F" w:rsidRDefault="009A156F" w:rsidP="009A156F">
      <w:pPr>
        <w:widowControl w:val="0"/>
        <w:autoSpaceDE w:val="0"/>
        <w:autoSpaceDN w:val="0"/>
        <w:adjustRightInd w:val="0"/>
        <w:spacing w:after="0" w:line="240" w:lineRule="auto"/>
        <w:ind w:firstLine="708"/>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Основным результатом реализации указанной Подпрограммы стало создание и совершенствование системы государственной поддержки молодых семей, а также семей, имеющих трех и более детей, при решении жилищной проблемы для улучшения демографической ситуации в Республике Тыва. </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Анализ результатов реализации Подпрограммы за прошедший период выявил целесообразность ее корректировки и развития в части совершенствования механизма и условий осуществления государственной поддержки молодых семей, а также семей, имеющих трех и более детей, при решении их жилищных проблем.</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Формирование системы ипотечного кредитования позволило более активно </w:t>
      </w:r>
      <w:r>
        <w:rPr>
          <w:rFonts w:ascii="Times New Roman" w:eastAsia="Times New Roman" w:hAnsi="Times New Roman" w:cs="Times New Roman"/>
          <w:bCs/>
          <w:sz w:val="26"/>
          <w:szCs w:val="26"/>
          <w:lang w:eastAsia="ru-RU"/>
        </w:rPr>
        <w:lastRenderedPageBreak/>
        <w:t>использовать ипотечные жилищные кредиты как дополнительный источник финансирования улучшения жилищных условий молодых семей, а также семей, имеющих трех и более детей.</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proofErr w:type="gramStart"/>
      <w:r>
        <w:rPr>
          <w:rFonts w:ascii="Times New Roman" w:eastAsia="Times New Roman" w:hAnsi="Times New Roman" w:cs="Times New Roman"/>
          <w:bCs/>
          <w:sz w:val="26"/>
          <w:szCs w:val="26"/>
          <w:lang w:eastAsia="ru-RU"/>
        </w:rPr>
        <w:t>Однако</w:t>
      </w:r>
      <w:proofErr w:type="gramEnd"/>
      <w:r>
        <w:rPr>
          <w:rFonts w:ascii="Times New Roman" w:eastAsia="Times New Roman" w:hAnsi="Times New Roman" w:cs="Times New Roman"/>
          <w:bCs/>
          <w:sz w:val="26"/>
          <w:szCs w:val="26"/>
          <w:lang w:eastAsia="ru-RU"/>
        </w:rPr>
        <w:t xml:space="preserve"> несмотря на принимаемые разноплановые меры по государственной поддержке молодых семей темпы решения их жилищных проблем не могут быть признаны удовлетворительными. Острота проблемы определяется низкой платежеспособностью населения, недоступностью жилья и механизмов ипотечного жилищного кредитования. Сдерживает ее решение и ограниченность бюджетных средств республики. 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а также семьи, имеющие трех и более детей,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является для них хорошим стимулом дальнейшего профессионального роста. Возможность решения жилищной проблемы, в том числе с привлечением средств ипотечного жилищного кредита или займа, создала для молодежи стимул к повышению качества трудовой деятельности, уровня квалификации в целях роста заработной платы.</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p>
    <w:p w:rsidR="009A156F" w:rsidRDefault="009A156F" w:rsidP="009A156F">
      <w:pPr>
        <w:widowControl w:val="0"/>
        <w:autoSpaceDE w:val="0"/>
        <w:autoSpaceDN w:val="0"/>
        <w:adjustRightInd w:val="0"/>
        <w:spacing w:after="0" w:line="240" w:lineRule="auto"/>
        <w:ind w:firstLine="709"/>
        <w:jc w:val="center"/>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II. Приоритеты республиканской государственной политики в сфере реализации Подпрограммы, цель, задачи, сроки и этапы реализации Подпрограммы</w:t>
      </w:r>
    </w:p>
    <w:p w:rsidR="009A156F" w:rsidRDefault="009A156F" w:rsidP="009A156F">
      <w:pPr>
        <w:widowControl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p>
    <w:p w:rsidR="009A156F" w:rsidRDefault="009A156F" w:rsidP="009A156F">
      <w:pPr>
        <w:widowControl w:val="0"/>
        <w:autoSpaceDE w:val="0"/>
        <w:autoSpaceDN w:val="0"/>
        <w:adjustRightInd w:val="0"/>
        <w:spacing w:after="0" w:line="240" w:lineRule="auto"/>
        <w:ind w:firstLine="708"/>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Подпрограмма направлена на реализацию одного из приоритетных направлений национального проекта «Доступное и комфортное жилье – гражданам России», который предполагает формирование системы оказания государственной поддержки определенным категориям граждан в приобретении жилья или строительстве индивидуального жилого дома.</w:t>
      </w:r>
    </w:p>
    <w:p w:rsidR="009A156F" w:rsidRDefault="009A156F" w:rsidP="009A156F">
      <w:pPr>
        <w:widowControl w:val="0"/>
        <w:autoSpaceDE w:val="0"/>
        <w:autoSpaceDN w:val="0"/>
        <w:adjustRightInd w:val="0"/>
        <w:spacing w:after="0" w:line="240" w:lineRule="auto"/>
        <w:ind w:firstLine="708"/>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
          <w:bCs/>
          <w:sz w:val="26"/>
          <w:szCs w:val="26"/>
          <w:lang w:eastAsia="ru-RU"/>
        </w:rPr>
        <w:t>Основной целью</w:t>
      </w:r>
      <w:r>
        <w:rPr>
          <w:rFonts w:ascii="Times New Roman" w:eastAsia="Times New Roman" w:hAnsi="Times New Roman" w:cs="Times New Roman"/>
          <w:bCs/>
          <w:sz w:val="26"/>
          <w:szCs w:val="26"/>
          <w:lang w:eastAsia="ru-RU"/>
        </w:rPr>
        <w:t xml:space="preserve"> Подпрограммы является предоставление государственной поддержки в решении жилищной проблемы молодым семьям, а также семьям, имеющим трех и более детей, признанным в установленном </w:t>
      </w:r>
      <w:proofErr w:type="gramStart"/>
      <w:r>
        <w:rPr>
          <w:rFonts w:ascii="Times New Roman" w:eastAsia="Times New Roman" w:hAnsi="Times New Roman" w:cs="Times New Roman"/>
          <w:bCs/>
          <w:sz w:val="26"/>
          <w:szCs w:val="26"/>
          <w:lang w:eastAsia="ru-RU"/>
        </w:rPr>
        <w:t>порядке</w:t>
      </w:r>
      <w:proofErr w:type="gramEnd"/>
      <w:r>
        <w:rPr>
          <w:rFonts w:ascii="Times New Roman" w:eastAsia="Times New Roman" w:hAnsi="Times New Roman" w:cs="Times New Roman"/>
          <w:bCs/>
          <w:sz w:val="26"/>
          <w:szCs w:val="26"/>
          <w:lang w:eastAsia="ru-RU"/>
        </w:rPr>
        <w:t xml:space="preserve"> нуждающимися в улучшении жилищных условий.</w:t>
      </w:r>
    </w:p>
    <w:p w:rsidR="009A156F" w:rsidRDefault="009A156F" w:rsidP="009A156F">
      <w:pPr>
        <w:widowControl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p>
    <w:p w:rsidR="009A156F" w:rsidRDefault="009A156F" w:rsidP="009A156F">
      <w:pPr>
        <w:widowControl w:val="0"/>
        <w:autoSpaceDE w:val="0"/>
        <w:autoSpaceDN w:val="0"/>
        <w:adjustRightInd w:val="0"/>
        <w:spacing w:after="0" w:line="240" w:lineRule="auto"/>
        <w:ind w:firstLine="708"/>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
          <w:bCs/>
          <w:sz w:val="26"/>
          <w:szCs w:val="26"/>
          <w:lang w:eastAsia="ru-RU"/>
        </w:rPr>
        <w:t>Основными задачами Подпрограммы</w:t>
      </w:r>
      <w:r>
        <w:rPr>
          <w:rFonts w:ascii="Times New Roman" w:eastAsia="Times New Roman" w:hAnsi="Times New Roman" w:cs="Times New Roman"/>
          <w:bCs/>
          <w:sz w:val="26"/>
          <w:szCs w:val="26"/>
          <w:lang w:eastAsia="ru-RU"/>
        </w:rPr>
        <w:t xml:space="preserve"> являются:</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обеспечение предоставления молодым семьям – участникам Подпрограммы социальных выплат на приобретение жилья экономического класса или строительство индивидуального жилого дома экономического класса (далее – социальные выплаты);</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создание условий для привлечения молодыми семьями собственных средств, финансовых сре</w:t>
      </w:r>
      <w:proofErr w:type="gramStart"/>
      <w:r>
        <w:rPr>
          <w:rFonts w:ascii="Times New Roman" w:eastAsia="Times New Roman" w:hAnsi="Times New Roman" w:cs="Times New Roman"/>
          <w:bCs/>
          <w:sz w:val="26"/>
          <w:szCs w:val="26"/>
          <w:lang w:eastAsia="ru-RU"/>
        </w:rPr>
        <w:t>дств кр</w:t>
      </w:r>
      <w:proofErr w:type="gramEnd"/>
      <w:r>
        <w:rPr>
          <w:rFonts w:ascii="Times New Roman" w:eastAsia="Times New Roman" w:hAnsi="Times New Roman" w:cs="Times New Roman"/>
          <w:bCs/>
          <w:sz w:val="26"/>
          <w:szCs w:val="26"/>
          <w:lang w:eastAsia="ru-RU"/>
        </w:rPr>
        <w:t xml:space="preserve">едитных и других организаций, предоставляющих кредиты и займы для приобретения жилья или строительства индивидуального жилья, в том </w:t>
      </w:r>
      <w:r>
        <w:rPr>
          <w:rFonts w:ascii="Times New Roman" w:eastAsia="Times New Roman" w:hAnsi="Times New Roman" w:cs="Times New Roman"/>
          <w:bCs/>
          <w:sz w:val="26"/>
          <w:szCs w:val="26"/>
          <w:lang w:eastAsia="ru-RU"/>
        </w:rPr>
        <w:lastRenderedPageBreak/>
        <w:t>числе ипотечные жилищные кредиты.</w:t>
      </w:r>
    </w:p>
    <w:p w:rsidR="009A156F" w:rsidRDefault="009A156F" w:rsidP="009A156F">
      <w:pPr>
        <w:widowControl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Основными принципами реализации Подпрограммы являются:</w:t>
      </w:r>
    </w:p>
    <w:p w:rsidR="009A156F" w:rsidRDefault="009A156F" w:rsidP="009A156F">
      <w:pPr>
        <w:widowControl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добровольность участия в Подпрограмме молодых семей, а также семей, имеющих трех и более детей;</w:t>
      </w:r>
    </w:p>
    <w:p w:rsidR="009A156F" w:rsidRDefault="009A156F" w:rsidP="009A156F">
      <w:pPr>
        <w:widowControl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proofErr w:type="gramStart"/>
      <w:r>
        <w:rPr>
          <w:rFonts w:ascii="Times New Roman" w:eastAsia="Times New Roman" w:hAnsi="Times New Roman" w:cs="Times New Roman"/>
          <w:bCs/>
          <w:sz w:val="26"/>
          <w:szCs w:val="26"/>
          <w:lang w:eastAsia="ru-RU"/>
        </w:rPr>
        <w:t>признание молодой семьи, а также семей, имеющих трех и более детей, нуждающимися в улучшении жилищных условий в соответствии с требованиями Подпрограммы;</w:t>
      </w:r>
      <w:proofErr w:type="gramEnd"/>
    </w:p>
    <w:p w:rsidR="009A156F" w:rsidRDefault="009A156F" w:rsidP="009A156F">
      <w:pPr>
        <w:widowControl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возможность для молодых семей, а также семей, имеющих трех и более детей, реализовать свое право на получение поддержки за счет средств, предоставляемых в рамках Подпрограммы из федерального, республиканского и местных бюджетов при улучшении жилищных условий, только один раз.</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p>
    <w:p w:rsidR="009A156F" w:rsidRDefault="009A156F" w:rsidP="009A156F">
      <w:pPr>
        <w:widowControl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Условиями прекращения реализации Подпрограммы являются досрочное достижение цели и задач Подпрограммы, а также изменение механизмов реализации государственной жилищной политики.</w:t>
      </w:r>
    </w:p>
    <w:p w:rsidR="009A156F" w:rsidRDefault="009A156F" w:rsidP="009A156F">
      <w:pPr>
        <w:widowControl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p>
    <w:p w:rsidR="009A156F" w:rsidRDefault="009A156F" w:rsidP="009A156F">
      <w:pPr>
        <w:pStyle w:val="a3"/>
        <w:widowControl w:val="0"/>
        <w:numPr>
          <w:ilvl w:val="0"/>
          <w:numId w:val="1"/>
        </w:numPr>
        <w:autoSpaceDE w:val="0"/>
        <w:autoSpaceDN w:val="0"/>
        <w:adjustRightInd w:val="0"/>
        <w:spacing w:after="0" w:line="240" w:lineRule="auto"/>
        <w:jc w:val="center"/>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Показатели (индикаторы) достижения цели и решения задач, основные ожидаемые конечные результаты Подпрограммы</w:t>
      </w:r>
    </w:p>
    <w:p w:rsidR="009A156F" w:rsidRDefault="009A156F" w:rsidP="009A156F">
      <w:pPr>
        <w:widowControl w:val="0"/>
        <w:autoSpaceDE w:val="0"/>
        <w:autoSpaceDN w:val="0"/>
        <w:adjustRightInd w:val="0"/>
        <w:spacing w:after="0" w:line="240" w:lineRule="auto"/>
        <w:ind w:left="709"/>
        <w:rPr>
          <w:rFonts w:ascii="Times New Roman" w:eastAsia="Times New Roman" w:hAnsi="Times New Roman" w:cs="Times New Roman"/>
          <w:bCs/>
          <w:sz w:val="26"/>
          <w:szCs w:val="26"/>
          <w:lang w:eastAsia="ru-RU"/>
        </w:rPr>
      </w:pPr>
    </w:p>
    <w:p w:rsidR="009A156F" w:rsidRDefault="009A156F" w:rsidP="009A156F">
      <w:pPr>
        <w:widowControl w:val="0"/>
        <w:autoSpaceDE w:val="0"/>
        <w:autoSpaceDN w:val="0"/>
        <w:adjustRightInd w:val="0"/>
        <w:spacing w:after="0" w:line="240" w:lineRule="auto"/>
        <w:ind w:firstLine="708"/>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Эффективность реализации Подпрограммы и </w:t>
      </w:r>
      <w:proofErr w:type="gramStart"/>
      <w:r>
        <w:rPr>
          <w:rFonts w:ascii="Times New Roman" w:eastAsia="Times New Roman" w:hAnsi="Times New Roman" w:cs="Times New Roman"/>
          <w:bCs/>
          <w:sz w:val="26"/>
          <w:szCs w:val="26"/>
          <w:lang w:eastAsia="ru-RU"/>
        </w:rPr>
        <w:t>использования</w:t>
      </w:r>
      <w:proofErr w:type="gramEnd"/>
      <w:r>
        <w:rPr>
          <w:rFonts w:ascii="Times New Roman" w:eastAsia="Times New Roman" w:hAnsi="Times New Roman" w:cs="Times New Roman"/>
          <w:bCs/>
          <w:sz w:val="26"/>
          <w:szCs w:val="26"/>
          <w:lang w:eastAsia="ru-RU"/>
        </w:rPr>
        <w:t xml:space="preserve"> выделенных на нее средств федерального, республиканского и местных бюджетов будет обеспечена за счет: исключения возможности нецелевого использования бюджетных средств; прозрачности использования бюджетных средств, в том числе средств федерального бюджета; государственного регулирования порядка расчета размера и предоставления социальных выплат; адресного предоставления бюджетных средств;</w:t>
      </w:r>
    </w:p>
    <w:p w:rsidR="009A156F" w:rsidRDefault="009A156F" w:rsidP="009A156F">
      <w:pPr>
        <w:widowControl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привлечения молодыми семьями собственных и заемных сре</w:t>
      </w:r>
      <w:proofErr w:type="gramStart"/>
      <w:r>
        <w:rPr>
          <w:rFonts w:ascii="Times New Roman" w:eastAsia="Times New Roman" w:hAnsi="Times New Roman" w:cs="Times New Roman"/>
          <w:bCs/>
          <w:sz w:val="26"/>
          <w:szCs w:val="26"/>
          <w:lang w:eastAsia="ru-RU"/>
        </w:rPr>
        <w:t>дств дл</w:t>
      </w:r>
      <w:proofErr w:type="gramEnd"/>
      <w:r>
        <w:rPr>
          <w:rFonts w:ascii="Times New Roman" w:eastAsia="Times New Roman" w:hAnsi="Times New Roman" w:cs="Times New Roman"/>
          <w:bCs/>
          <w:sz w:val="26"/>
          <w:szCs w:val="26"/>
          <w:lang w:eastAsia="ru-RU"/>
        </w:rPr>
        <w:t>я приобретения жилья или строительства индивидуального жилого дома.</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Для осуществления оценки подпрограммных мероприятий предусматривается показатель (индикатор), необходимый для решения задач Подпрограммы, –</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количество молодых семей, а также семей, имеющих трех и более детей, улучшивших жилищные условия (в том числе с использованием ипотечных жилищных кредитов и займов) при оказании содействия за счет средств федерального, республиканского и местных бюджетов.</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Успешное выполнение мероприя</w:t>
      </w:r>
      <w:r w:rsidR="00C064F3">
        <w:rPr>
          <w:rFonts w:ascii="Times New Roman" w:eastAsia="Times New Roman" w:hAnsi="Times New Roman" w:cs="Times New Roman"/>
          <w:bCs/>
          <w:sz w:val="26"/>
          <w:szCs w:val="26"/>
          <w:lang w:eastAsia="ru-RU"/>
        </w:rPr>
        <w:t>тий Подпрограммы позволит в 2022-2024 годах обеспечить жильем 18</w:t>
      </w:r>
      <w:r>
        <w:rPr>
          <w:rFonts w:ascii="Times New Roman" w:eastAsia="Times New Roman" w:hAnsi="Times New Roman" w:cs="Times New Roman"/>
          <w:bCs/>
          <w:sz w:val="26"/>
          <w:szCs w:val="26"/>
          <w:lang w:eastAsia="ru-RU"/>
        </w:rPr>
        <w:t xml:space="preserve"> молодых семей, нуждающихся в улучшении жилищ</w:t>
      </w:r>
      <w:r w:rsidR="00C064F3">
        <w:rPr>
          <w:rFonts w:ascii="Times New Roman" w:eastAsia="Times New Roman" w:hAnsi="Times New Roman" w:cs="Times New Roman"/>
          <w:bCs/>
          <w:sz w:val="26"/>
          <w:szCs w:val="26"/>
          <w:lang w:eastAsia="ru-RU"/>
        </w:rPr>
        <w:t>ных условий, в том числе: в 2022 году – 5</w:t>
      </w:r>
      <w:r>
        <w:rPr>
          <w:rFonts w:ascii="Times New Roman" w:eastAsia="Times New Roman" w:hAnsi="Times New Roman" w:cs="Times New Roman"/>
          <w:bCs/>
          <w:sz w:val="26"/>
          <w:szCs w:val="26"/>
          <w:lang w:eastAsia="ru-RU"/>
        </w:rPr>
        <w:t xml:space="preserve"> молодых семей; 2</w:t>
      </w:r>
      <w:r w:rsidR="00C064F3">
        <w:rPr>
          <w:rFonts w:ascii="Times New Roman" w:eastAsia="Times New Roman" w:hAnsi="Times New Roman" w:cs="Times New Roman"/>
          <w:bCs/>
          <w:sz w:val="26"/>
          <w:szCs w:val="26"/>
          <w:lang w:eastAsia="ru-RU"/>
        </w:rPr>
        <w:t>023 году – 6 молодых семей; 2024 году – 7</w:t>
      </w:r>
      <w:r>
        <w:rPr>
          <w:rFonts w:ascii="Times New Roman" w:eastAsia="Times New Roman" w:hAnsi="Times New Roman" w:cs="Times New Roman"/>
          <w:bCs/>
          <w:sz w:val="26"/>
          <w:szCs w:val="26"/>
          <w:lang w:eastAsia="ru-RU"/>
        </w:rPr>
        <w:t xml:space="preserve"> молодых семей.</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p>
    <w:p w:rsidR="009A156F" w:rsidRDefault="009A156F" w:rsidP="009A156F">
      <w:pPr>
        <w:widowControl w:val="0"/>
        <w:autoSpaceDE w:val="0"/>
        <w:autoSpaceDN w:val="0"/>
        <w:adjustRightInd w:val="0"/>
        <w:spacing w:after="0" w:line="240" w:lineRule="auto"/>
        <w:ind w:firstLine="709"/>
        <w:jc w:val="center"/>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IV. Обобщенная характеристика мероприятий Подпрограммы</w:t>
      </w:r>
    </w:p>
    <w:p w:rsidR="009A156F" w:rsidRDefault="009A156F" w:rsidP="009A156F">
      <w:pPr>
        <w:widowControl w:val="0"/>
        <w:autoSpaceDE w:val="0"/>
        <w:autoSpaceDN w:val="0"/>
        <w:adjustRightInd w:val="0"/>
        <w:spacing w:after="0" w:line="240" w:lineRule="auto"/>
        <w:ind w:firstLine="709"/>
        <w:jc w:val="center"/>
        <w:rPr>
          <w:rFonts w:ascii="Times New Roman" w:eastAsia="Times New Roman" w:hAnsi="Times New Roman" w:cs="Times New Roman"/>
          <w:bCs/>
          <w:sz w:val="26"/>
          <w:szCs w:val="26"/>
          <w:lang w:eastAsia="ru-RU"/>
        </w:rPr>
      </w:pP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Реализация системы мероприятий республиканской Подпрограммы осуществляется по следующим направлениям:</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нормативное правовое и методологическое обеспечение реализации Подпрограммы;</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финансовое обеспечение реализации Подпрограммы;</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организационное обеспечение реализации Подпрограммы. Мероприятия по </w:t>
      </w:r>
      <w:r>
        <w:rPr>
          <w:rFonts w:ascii="Times New Roman" w:eastAsia="Times New Roman" w:hAnsi="Times New Roman" w:cs="Times New Roman"/>
          <w:bCs/>
          <w:sz w:val="26"/>
          <w:szCs w:val="26"/>
          <w:lang w:eastAsia="ru-RU"/>
        </w:rPr>
        <w:lastRenderedPageBreak/>
        <w:t>совершенствованию нормативной правовой базы включают в себя разработку нормативных правовых актов, связанных с механизмом реализации мероприятий Подпрограммы. Основными мероприятиями по финансовому обеспечению реализации Подпрограммы являются:</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разработка финансовых и </w:t>
      </w:r>
      <w:proofErr w:type="gramStart"/>
      <w:r>
        <w:rPr>
          <w:rFonts w:ascii="Times New Roman" w:eastAsia="Times New Roman" w:hAnsi="Times New Roman" w:cs="Times New Roman"/>
          <w:bCs/>
          <w:sz w:val="26"/>
          <w:szCs w:val="26"/>
          <w:lang w:eastAsia="ru-RU"/>
        </w:rPr>
        <w:t>экономических механизмов</w:t>
      </w:r>
      <w:proofErr w:type="gramEnd"/>
      <w:r>
        <w:rPr>
          <w:rFonts w:ascii="Times New Roman" w:eastAsia="Times New Roman" w:hAnsi="Times New Roman" w:cs="Times New Roman"/>
          <w:bCs/>
          <w:sz w:val="26"/>
          <w:szCs w:val="26"/>
          <w:lang w:eastAsia="ru-RU"/>
        </w:rPr>
        <w:t xml:space="preserve"> оказания государственной поддержки молодым семьям в улучшении жилищных условий и подготовка необходимых технико-экономических обоснований и расчетов при разработке проектов республиканского бюджета на соответствующий год и плановый период;</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предоставление молодым семьям, а также семьям, имеющим трех и более детей, социальных выплат на приобретение (строительство) жилья.</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Организационные мероприятия на республиканском и местном уровне предусматривают:</w:t>
      </w:r>
    </w:p>
    <w:p w:rsidR="009A156F" w:rsidRDefault="009A156F" w:rsidP="009A156F">
      <w:pPr>
        <w:widowControl w:val="0"/>
        <w:autoSpaceDE w:val="0"/>
        <w:autoSpaceDN w:val="0"/>
        <w:adjustRightInd w:val="0"/>
        <w:spacing w:after="0" w:line="240" w:lineRule="auto"/>
        <w:ind w:firstLine="708"/>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подготовку документов и участие в конкурсном отборе для получения средств</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из федерального бюджета; </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сбор данных о молодых семьях, участвующих в Подпрограмме, предоставляемых органами местного самоуправления, обеспечивающими реализацию мероприятий Подпрограммы, и формирование единой информационной базы данных об участниках Подпрограммы по Республике Тыва;</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определение ежегодно объема бюджетных ассигнований, выделяемых из бюджета республики на реализацию мероприятий Подпрограммы;</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отбор муниципальных образований Республики Тыва для участия в Подпрограмме и распределение субсидий между муниципальными образованиями Республики Тыва по методике, утвержденной Министерством строительства и модернизации коммунального хозяйства Республики Тыва, в соответствии с требованиями Бюджетного кодекса Российской Федерации;</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отбор банков в соответствии с установленными на федеральном уровне критериями для обслуживания средств, предоставляемых в качестве социальных выплат молодым семьям;</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отбор уполномоченных организаций, осуществляющих оказание услуг для молодых семей – участников Подпрограммы по приобретению жилого помещения (жилых помещений) экономического класса на первичном рынке жилья (при необходимости);</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осуществление </w:t>
      </w:r>
      <w:proofErr w:type="gramStart"/>
      <w:r>
        <w:rPr>
          <w:rFonts w:ascii="Times New Roman" w:eastAsia="Times New Roman" w:hAnsi="Times New Roman" w:cs="Times New Roman"/>
          <w:bCs/>
          <w:sz w:val="26"/>
          <w:szCs w:val="26"/>
          <w:lang w:eastAsia="ru-RU"/>
        </w:rPr>
        <w:t>контроля за</w:t>
      </w:r>
      <w:proofErr w:type="gramEnd"/>
      <w:r>
        <w:rPr>
          <w:rFonts w:ascii="Times New Roman" w:eastAsia="Times New Roman" w:hAnsi="Times New Roman" w:cs="Times New Roman"/>
          <w:bCs/>
          <w:sz w:val="26"/>
          <w:szCs w:val="26"/>
          <w:lang w:eastAsia="ru-RU"/>
        </w:rPr>
        <w:t xml:space="preserve"> реализацией Подпрограммы на региональном и муниципальном уровнях в пределах своих полномочий;</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обеспечение освещения целей и задач, механизмов реализации Подпрограммы в средствах массовой информации;</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формирование сводного списка молодых семей, а также семей, имеющих трех</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и более детей, – участников Подпрограммы, изъявивших желание получить социальную выплату в планируемом году, утверждение списка молодых семей – претендентов на получение социальной выплаты в планируемом году в установленном порядке;</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проведение мониторинга реализации Подпрограммы на региональном уровне,</w:t>
      </w:r>
    </w:p>
    <w:p w:rsidR="009A156F" w:rsidRDefault="009A156F" w:rsidP="009A156F">
      <w:pPr>
        <w:widowControl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подготовка информационно-аналитических и отчетных материалов для представления в Министерство строительства и жилищно-коммунального </w:t>
      </w:r>
      <w:r>
        <w:rPr>
          <w:rFonts w:ascii="Times New Roman" w:eastAsia="Times New Roman" w:hAnsi="Times New Roman" w:cs="Times New Roman"/>
          <w:bCs/>
          <w:sz w:val="26"/>
          <w:szCs w:val="26"/>
          <w:lang w:eastAsia="ru-RU"/>
        </w:rPr>
        <w:lastRenderedPageBreak/>
        <w:t>хозяйства Российской Федерации.</w:t>
      </w:r>
    </w:p>
    <w:p w:rsidR="009A156F" w:rsidRDefault="009A156F" w:rsidP="009A156F">
      <w:pPr>
        <w:widowControl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Организационные мероприятия на муниципальном уровне предусматривают:</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разработку и утверждение муниципальной программы, направленной на обеспечение жильем молодых семей;</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признание молодых семей нуждающимися в улучшении жилищных условий в порядке, установленном требованиями Подпрограммы; формирование списков молодых семей, а также семей, имеющих трех и более детей, для участия в подпрограмме;</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определение ежегодно объема бюджетных ассигнований, выделяемых из местного бюджета на реализацию мероприятий Подпрограммы;</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выдачу молодым семьям в установленном порядке свидетельств на приобретение жилья исходя из объемов бюджетных ассигнований, предусмотренных на эти</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цели в местном бюджете, в том числе за счет субсидий из бюджета республики.</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p>
    <w:p w:rsidR="009A156F" w:rsidRDefault="009A156F" w:rsidP="009A156F">
      <w:pPr>
        <w:widowControl w:val="0"/>
        <w:autoSpaceDE w:val="0"/>
        <w:autoSpaceDN w:val="0"/>
        <w:adjustRightInd w:val="0"/>
        <w:spacing w:after="0" w:line="240" w:lineRule="auto"/>
        <w:ind w:firstLine="709"/>
        <w:jc w:val="center"/>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V. Обоснование объема финансовых ресурсов,</w:t>
      </w:r>
    </w:p>
    <w:p w:rsidR="009A156F" w:rsidRDefault="009A156F" w:rsidP="009A156F">
      <w:pPr>
        <w:widowControl w:val="0"/>
        <w:autoSpaceDE w:val="0"/>
        <w:autoSpaceDN w:val="0"/>
        <w:adjustRightInd w:val="0"/>
        <w:spacing w:after="0" w:line="240" w:lineRule="auto"/>
        <w:ind w:firstLine="709"/>
        <w:jc w:val="center"/>
        <w:rPr>
          <w:rFonts w:ascii="Times New Roman" w:eastAsia="Times New Roman" w:hAnsi="Times New Roman" w:cs="Times New Roman"/>
          <w:bCs/>
          <w:sz w:val="26"/>
          <w:szCs w:val="26"/>
          <w:lang w:eastAsia="ru-RU"/>
        </w:rPr>
      </w:pPr>
      <w:proofErr w:type="gramStart"/>
      <w:r>
        <w:rPr>
          <w:rFonts w:ascii="Times New Roman" w:eastAsia="Times New Roman" w:hAnsi="Times New Roman" w:cs="Times New Roman"/>
          <w:bCs/>
          <w:sz w:val="26"/>
          <w:szCs w:val="26"/>
          <w:lang w:eastAsia="ru-RU"/>
        </w:rPr>
        <w:t>необходимых</w:t>
      </w:r>
      <w:proofErr w:type="gramEnd"/>
      <w:r>
        <w:rPr>
          <w:rFonts w:ascii="Times New Roman" w:eastAsia="Times New Roman" w:hAnsi="Times New Roman" w:cs="Times New Roman"/>
          <w:bCs/>
          <w:sz w:val="26"/>
          <w:szCs w:val="26"/>
          <w:lang w:eastAsia="ru-RU"/>
        </w:rPr>
        <w:t xml:space="preserve"> для реализации Подпрограммы</w:t>
      </w:r>
    </w:p>
    <w:p w:rsidR="009A156F" w:rsidRDefault="009A156F" w:rsidP="009A156F">
      <w:pPr>
        <w:widowControl w:val="0"/>
        <w:autoSpaceDE w:val="0"/>
        <w:autoSpaceDN w:val="0"/>
        <w:adjustRightInd w:val="0"/>
        <w:spacing w:after="0" w:line="240" w:lineRule="auto"/>
        <w:ind w:firstLine="709"/>
        <w:jc w:val="center"/>
        <w:rPr>
          <w:rFonts w:ascii="Times New Roman" w:eastAsia="Times New Roman" w:hAnsi="Times New Roman" w:cs="Times New Roman"/>
          <w:bCs/>
          <w:sz w:val="26"/>
          <w:szCs w:val="26"/>
          <w:lang w:eastAsia="ru-RU"/>
        </w:rPr>
      </w:pP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Основными источниками финансирования Подпрограммы являются: средства федерального бюджета, предоставляемые по результатам участия Республики Тыва в конкурсном отборе субъектов Российской Федерации для участия в планируемом году в реализации Подпрограммы;</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средства республиканского и местных бюджетов;</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средства кредитных и других организаций, предоставляющих молодым семь-</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ям кредиты и займы на приобретение жилья или строительство индивидуального жилья, в том числе ипотечные жилищные кредиты;</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средства молодых семей, а также семей, имеющих трех и более детей, используемые для частичной оплаты стоимости приобретаемого жилья или строящегося индивидуального жилья.</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Общий объем финансирования – 107712,0 тыс. рублей, в том числе:</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средства федерального и республиканского бюджета – 32937,0 тыс. рублей;</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средства бюджетов муниципальных образований – 4762,0 тыс. рублей;</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собственные и заемные средства молодых семей – 70012,8 тыс. рублей.</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Ресурсное обеспечение Подпрограммы подлежит корректировке по мере изменения макроэкономических параметров (индикаторы состояния экономики, состояние республиканского бюджета и бюджетов муниципальных образований, количество участников Подпрограммы) и в соответствии с результатами исполнения Подпрограммы по итогам каждого года.</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p>
    <w:p w:rsidR="009A156F" w:rsidRDefault="009A156F" w:rsidP="009A156F">
      <w:pPr>
        <w:widowControl w:val="0"/>
        <w:autoSpaceDE w:val="0"/>
        <w:autoSpaceDN w:val="0"/>
        <w:adjustRightInd w:val="0"/>
        <w:spacing w:after="0" w:line="240" w:lineRule="auto"/>
        <w:ind w:firstLine="709"/>
        <w:jc w:val="center"/>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VI. Механизм реализации Подпрограммы</w:t>
      </w:r>
    </w:p>
    <w:p w:rsidR="009A156F" w:rsidRDefault="009A156F" w:rsidP="009A156F">
      <w:pPr>
        <w:widowControl w:val="0"/>
        <w:autoSpaceDE w:val="0"/>
        <w:autoSpaceDN w:val="0"/>
        <w:adjustRightInd w:val="0"/>
        <w:spacing w:after="0" w:line="240" w:lineRule="auto"/>
        <w:ind w:firstLine="709"/>
        <w:jc w:val="center"/>
        <w:rPr>
          <w:rFonts w:ascii="Times New Roman" w:eastAsia="Times New Roman" w:hAnsi="Times New Roman" w:cs="Times New Roman"/>
          <w:bCs/>
          <w:sz w:val="26"/>
          <w:szCs w:val="26"/>
          <w:lang w:eastAsia="ru-RU"/>
        </w:rPr>
      </w:pP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Механизм реализации Подпрограммы предполагает оказание государственной поддержки молодым семьям, а также семьям, имеющим трех и более детей, – участникам Подпрограммы в улучшении жилищных условий путем предоставления им социальных выплат.</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proofErr w:type="gramStart"/>
      <w:r>
        <w:rPr>
          <w:rFonts w:ascii="Times New Roman" w:eastAsia="Times New Roman" w:hAnsi="Times New Roman" w:cs="Times New Roman"/>
          <w:bCs/>
          <w:sz w:val="26"/>
          <w:szCs w:val="26"/>
          <w:lang w:eastAsia="ru-RU"/>
        </w:rPr>
        <w:t xml:space="preserve">Социальная выплата на приобретение (строительство) жилого помещения предоставляется и используется в соответствии с порядком предоставления </w:t>
      </w:r>
      <w:r>
        <w:rPr>
          <w:rFonts w:ascii="Times New Roman" w:eastAsia="Times New Roman" w:hAnsi="Times New Roman" w:cs="Times New Roman"/>
          <w:bCs/>
          <w:sz w:val="26"/>
          <w:szCs w:val="26"/>
          <w:lang w:eastAsia="ru-RU"/>
        </w:rPr>
        <w:lastRenderedPageBreak/>
        <w:t>молодым семьям, а также семьям, имеющим трех и более детей, социальных выплат на приобретение жилья в соответствии с Правилами предоставления молодым семьям социальных выплат на приобретение (строительство) жилья и их использования, приведенными в постановлении Правительства Российской Федерации от 17 декабря 2010 г. № 1050.</w:t>
      </w:r>
      <w:proofErr w:type="gramEnd"/>
      <w:r>
        <w:rPr>
          <w:rFonts w:ascii="Times New Roman" w:eastAsia="Times New Roman" w:hAnsi="Times New Roman" w:cs="Times New Roman"/>
          <w:bCs/>
          <w:sz w:val="26"/>
          <w:szCs w:val="26"/>
          <w:lang w:eastAsia="ru-RU"/>
        </w:rPr>
        <w:t xml:space="preserve"> Условием предоставления социальной выплаты является наличие у молодой семьи помимо права на получение средств социальной выплаты дополнительных средств – собственных средств или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семьей, а также семей, имеющей трех и более детей, также могут быть использованы средства (часть средств) материнского (семейного) капитала.</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жилого дома (далее – свидетельство), которое выдается органом местного самоуправления, принявшим решение об участии молодой семьи в Подпрограмме. Полученное свидетельство сдается его владельцем в банк, отобранный ответственным исполнителем Подпрограммы для обслуживания средств, предусмотренных на предоставление социальных выплат, где на имя члена молодой семьи открывается банковский счет, предназначенный для зачисления социальной выплаты. Молодая семья - владелец свидетельства заключает договор банковского счета с банком по месту приобретения жилья.</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Отбор банков для участия в реализации Подпрограммы будет осуществляться</w:t>
      </w:r>
    </w:p>
    <w:p w:rsidR="009A156F" w:rsidRDefault="009A156F" w:rsidP="009A156F">
      <w:pPr>
        <w:widowControl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ответственным исполнителем Подпрограммы. Критерии отбора банков будут определяться Министерством строительства и жилищно-коммунального хозяйства Российской Федерации совместно с Центральным банком Российской Федерации.</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proofErr w:type="gramStart"/>
      <w:r>
        <w:rPr>
          <w:rFonts w:ascii="Times New Roman" w:eastAsia="Times New Roman" w:hAnsi="Times New Roman" w:cs="Times New Roman"/>
          <w:bCs/>
          <w:sz w:val="26"/>
          <w:szCs w:val="26"/>
          <w:lang w:eastAsia="ru-RU"/>
        </w:rPr>
        <w:t>Социальная выплата будет предоставляться органом местного самоуправления, принявшим решение об участии молодой семьи в Подпрограмме, за счет средств местного бюджета, предусмотренных на реализацию мероприятий Подпрограммы, в том числе за счет субсидий из бюджета Республики Тыва, в соответствии с Правилами предоставления молодым семьям социальных выплат на приобретение (строительство) жилья и их использования, приведенными в постановлении Правительства Российской Федерации от 17 декабря</w:t>
      </w:r>
      <w:proofErr w:type="gramEnd"/>
      <w:r>
        <w:rPr>
          <w:rFonts w:ascii="Times New Roman" w:eastAsia="Times New Roman" w:hAnsi="Times New Roman" w:cs="Times New Roman"/>
          <w:bCs/>
          <w:sz w:val="26"/>
          <w:szCs w:val="26"/>
          <w:lang w:eastAsia="ru-RU"/>
        </w:rPr>
        <w:t xml:space="preserve"> 2010 г. № 1050.</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Предоставление субсидий из республиканского бюджета бюджетам органов местного самоуправления на софинансирование расходных обязательств субъектов</w:t>
      </w:r>
    </w:p>
    <w:p w:rsidR="009A156F" w:rsidRDefault="009A156F" w:rsidP="009A156F">
      <w:pPr>
        <w:widowControl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Российской Федерации на предоставление социальных выплат молодым семьям </w:t>
      </w:r>
      <w:proofErr w:type="gramStart"/>
      <w:r>
        <w:rPr>
          <w:rFonts w:ascii="Times New Roman" w:eastAsia="Times New Roman" w:hAnsi="Times New Roman" w:cs="Times New Roman"/>
          <w:bCs/>
          <w:sz w:val="26"/>
          <w:szCs w:val="26"/>
          <w:lang w:eastAsia="ru-RU"/>
        </w:rPr>
        <w:t>на</w:t>
      </w:r>
      <w:proofErr w:type="gramEnd"/>
    </w:p>
    <w:p w:rsidR="009A156F" w:rsidRDefault="009A156F" w:rsidP="009A156F">
      <w:pPr>
        <w:widowControl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приобретение (строительство) жилья будет осуществляться комиссией, ежегодно создаваемой распоряжением Министерства строительства и модернизации коммунального хозяйства Республики Тыва.</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Возможными формами участия организаций в реализации Подпрограммы, </w:t>
      </w:r>
      <w:proofErr w:type="gramStart"/>
      <w:r>
        <w:rPr>
          <w:rFonts w:ascii="Times New Roman" w:eastAsia="Times New Roman" w:hAnsi="Times New Roman" w:cs="Times New Roman"/>
          <w:bCs/>
          <w:sz w:val="26"/>
          <w:szCs w:val="26"/>
          <w:lang w:eastAsia="ru-RU"/>
        </w:rPr>
        <w:t>за</w:t>
      </w:r>
      <w:proofErr w:type="gramEnd"/>
    </w:p>
    <w:p w:rsidR="009A156F" w:rsidRDefault="009A156F" w:rsidP="009A156F">
      <w:pPr>
        <w:widowControl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исключением организаций, предоставляющих кредиты (займы) на приобретение или</w:t>
      </w:r>
    </w:p>
    <w:p w:rsidR="009A156F" w:rsidRDefault="009A156F" w:rsidP="009A156F">
      <w:pPr>
        <w:widowControl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строительство жилья, в том числе ипотечные жилищные кредиты, могут являться участие в </w:t>
      </w:r>
      <w:proofErr w:type="spellStart"/>
      <w:r>
        <w:rPr>
          <w:rFonts w:ascii="Times New Roman" w:eastAsia="Times New Roman" w:hAnsi="Times New Roman" w:cs="Times New Roman"/>
          <w:bCs/>
          <w:sz w:val="26"/>
          <w:szCs w:val="26"/>
          <w:lang w:eastAsia="ru-RU"/>
        </w:rPr>
        <w:t>софинансировании</w:t>
      </w:r>
      <w:proofErr w:type="spellEnd"/>
      <w:r>
        <w:rPr>
          <w:rFonts w:ascii="Times New Roman" w:eastAsia="Times New Roman" w:hAnsi="Times New Roman" w:cs="Times New Roman"/>
          <w:bCs/>
          <w:sz w:val="26"/>
          <w:szCs w:val="26"/>
          <w:lang w:eastAsia="ru-RU"/>
        </w:rPr>
        <w:t xml:space="preserve"> предоставления социальных выплат, предоставление </w:t>
      </w:r>
      <w:r>
        <w:rPr>
          <w:rFonts w:ascii="Times New Roman" w:eastAsia="Times New Roman" w:hAnsi="Times New Roman" w:cs="Times New Roman"/>
          <w:bCs/>
          <w:sz w:val="26"/>
          <w:szCs w:val="26"/>
          <w:lang w:eastAsia="ru-RU"/>
        </w:rPr>
        <w:lastRenderedPageBreak/>
        <w:t>материально-технических ресурсов на строительство жилья для молодых семей, а также семей, имеющих трех и более детей, – участников Подпрограммы, а также иные формы поддержки. Конкретные формы участия этих организаций в реализации Подпрограммы определяются в соглашении, заключаемом между организациями и органами местного самоуправления в порядке, устанавливаемом нормативными правовыми актами республики.</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Ответственный исполнитель Подпрограммы осуществляет:</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общее управление выполнением Подпрограммы;</w:t>
      </w:r>
    </w:p>
    <w:p w:rsidR="009A156F" w:rsidRDefault="009A156F" w:rsidP="009A156F">
      <w:pPr>
        <w:widowControl w:val="0"/>
        <w:autoSpaceDE w:val="0"/>
        <w:autoSpaceDN w:val="0"/>
        <w:adjustRightInd w:val="0"/>
        <w:spacing w:after="0" w:line="240" w:lineRule="auto"/>
        <w:ind w:firstLine="708"/>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прием от органов местного самоуправления заявок на участие в Подпрограмме; </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proofErr w:type="gramStart"/>
      <w:r>
        <w:rPr>
          <w:rFonts w:ascii="Times New Roman" w:eastAsia="Times New Roman" w:hAnsi="Times New Roman" w:cs="Times New Roman"/>
          <w:bCs/>
          <w:sz w:val="26"/>
          <w:szCs w:val="26"/>
          <w:lang w:eastAsia="ru-RU"/>
        </w:rPr>
        <w:t>контроль за</w:t>
      </w:r>
      <w:proofErr w:type="gramEnd"/>
      <w:r>
        <w:rPr>
          <w:rFonts w:ascii="Times New Roman" w:eastAsia="Times New Roman" w:hAnsi="Times New Roman" w:cs="Times New Roman"/>
          <w:bCs/>
          <w:sz w:val="26"/>
          <w:szCs w:val="26"/>
          <w:lang w:eastAsia="ru-RU"/>
        </w:rPr>
        <w:t xml:space="preserve"> деятельностью органов местного самоуправления по реализации Подпрограммы;</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перечисление в бюджеты муниципальных образований Республики Тыва субсидий из республиканского бюджета для предоставления социальных выплат молодым семьям;</w:t>
      </w:r>
    </w:p>
    <w:p w:rsidR="009A156F" w:rsidRDefault="009A156F" w:rsidP="009A156F">
      <w:pPr>
        <w:widowControl w:val="0"/>
        <w:autoSpaceDE w:val="0"/>
        <w:autoSpaceDN w:val="0"/>
        <w:adjustRightInd w:val="0"/>
        <w:spacing w:after="0" w:line="240" w:lineRule="auto"/>
        <w:ind w:left="708" w:firstLine="1"/>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контроль за целевым использованием средств из республиканского бюджета, предоставленных в виде субсидии бюджетам муниципальных образований; организацию мониторинга и оценки </w:t>
      </w:r>
      <w:proofErr w:type="gramStart"/>
      <w:r>
        <w:rPr>
          <w:rFonts w:ascii="Times New Roman" w:eastAsia="Times New Roman" w:hAnsi="Times New Roman" w:cs="Times New Roman"/>
          <w:bCs/>
          <w:sz w:val="26"/>
          <w:szCs w:val="26"/>
          <w:lang w:eastAsia="ru-RU"/>
        </w:rPr>
        <w:t>эффективности результатов реализации мероприятий Подпрограммы</w:t>
      </w:r>
      <w:proofErr w:type="gramEnd"/>
      <w:r>
        <w:rPr>
          <w:rFonts w:ascii="Times New Roman" w:eastAsia="Times New Roman" w:hAnsi="Times New Roman" w:cs="Times New Roman"/>
          <w:bCs/>
          <w:sz w:val="26"/>
          <w:szCs w:val="26"/>
          <w:lang w:eastAsia="ru-RU"/>
        </w:rPr>
        <w:t xml:space="preserve"> и соответствия результатов целевым индикаторам;</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проведение в средствах массовой информации информационно-разъяснительной работы по вопросам реализации Подпрограммы.</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proofErr w:type="gramStart"/>
      <w:r>
        <w:rPr>
          <w:rFonts w:ascii="Times New Roman" w:eastAsia="Times New Roman" w:hAnsi="Times New Roman" w:cs="Times New Roman"/>
          <w:bCs/>
          <w:sz w:val="26"/>
          <w:szCs w:val="26"/>
          <w:lang w:eastAsia="ru-RU"/>
        </w:rPr>
        <w:t>Контроль за</w:t>
      </w:r>
      <w:proofErr w:type="gramEnd"/>
      <w:r>
        <w:rPr>
          <w:rFonts w:ascii="Times New Roman" w:eastAsia="Times New Roman" w:hAnsi="Times New Roman" w:cs="Times New Roman"/>
          <w:bCs/>
          <w:sz w:val="26"/>
          <w:szCs w:val="26"/>
          <w:lang w:eastAsia="ru-RU"/>
        </w:rPr>
        <w:t xml:space="preserve"> реализацией Подпрограммы осуществляется по следующим показателям:</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количество свидетельств, выданных молодым семьям, и сумма средств, предусмотренных на их оплату;</w:t>
      </w:r>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количество оплаченных свидетельств и размер средств, направленных </w:t>
      </w:r>
      <w:proofErr w:type="gramStart"/>
      <w:r>
        <w:rPr>
          <w:rFonts w:ascii="Times New Roman" w:eastAsia="Times New Roman" w:hAnsi="Times New Roman" w:cs="Times New Roman"/>
          <w:bCs/>
          <w:sz w:val="26"/>
          <w:szCs w:val="26"/>
          <w:lang w:eastAsia="ru-RU"/>
        </w:rPr>
        <w:t>на</w:t>
      </w:r>
      <w:proofErr w:type="gramEnd"/>
      <w:r>
        <w:rPr>
          <w:rFonts w:ascii="Times New Roman" w:eastAsia="Times New Roman" w:hAnsi="Times New Roman" w:cs="Times New Roman"/>
          <w:bCs/>
          <w:sz w:val="26"/>
          <w:szCs w:val="26"/>
          <w:lang w:eastAsia="ru-RU"/>
        </w:rPr>
        <w:t xml:space="preserve"> </w:t>
      </w:r>
      <w:proofErr w:type="gramStart"/>
      <w:r>
        <w:rPr>
          <w:rFonts w:ascii="Times New Roman" w:eastAsia="Times New Roman" w:hAnsi="Times New Roman" w:cs="Times New Roman"/>
          <w:bCs/>
          <w:sz w:val="26"/>
          <w:szCs w:val="26"/>
          <w:lang w:eastAsia="ru-RU"/>
        </w:rPr>
        <w:t>их</w:t>
      </w:r>
      <w:proofErr w:type="gramEnd"/>
    </w:p>
    <w:p w:rsidR="009A156F" w:rsidRDefault="009A156F" w:rsidP="009A156F">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оплату.</w:t>
      </w:r>
    </w:p>
    <w:p w:rsidR="009A156F" w:rsidRDefault="009A156F" w:rsidP="009A156F">
      <w:pPr>
        <w:rPr>
          <w:sz w:val="26"/>
          <w:szCs w:val="26"/>
        </w:rPr>
      </w:pPr>
    </w:p>
    <w:p w:rsidR="00E65B23" w:rsidRDefault="00E65B23"/>
    <w:sectPr w:rsidR="00E65B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A763F"/>
    <w:multiLevelType w:val="hybridMultilevel"/>
    <w:tmpl w:val="61A2E476"/>
    <w:lvl w:ilvl="0" w:tplc="FF225500">
      <w:start w:val="1"/>
      <w:numFmt w:val="upperRoman"/>
      <w:lvlText w:val="%1."/>
      <w:lvlJc w:val="left"/>
      <w:pPr>
        <w:ind w:left="1429" w:hanging="72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7FC"/>
    <w:rsid w:val="000B63D9"/>
    <w:rsid w:val="000C1F7B"/>
    <w:rsid w:val="002478E7"/>
    <w:rsid w:val="00267B1D"/>
    <w:rsid w:val="0044691F"/>
    <w:rsid w:val="00631259"/>
    <w:rsid w:val="006359C4"/>
    <w:rsid w:val="007F27FC"/>
    <w:rsid w:val="00857BE0"/>
    <w:rsid w:val="009A156F"/>
    <w:rsid w:val="00A93898"/>
    <w:rsid w:val="00C064F3"/>
    <w:rsid w:val="00CF3784"/>
    <w:rsid w:val="00E65B23"/>
    <w:rsid w:val="00EA3F2A"/>
    <w:rsid w:val="00EC0A54"/>
    <w:rsid w:val="00F4788D"/>
    <w:rsid w:val="00F62C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56F"/>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156F"/>
    <w:pPr>
      <w:ind w:left="720"/>
      <w:contextualSpacing/>
    </w:pPr>
  </w:style>
  <w:style w:type="paragraph" w:styleId="a4">
    <w:name w:val="Balloon Text"/>
    <w:basedOn w:val="a"/>
    <w:link w:val="a5"/>
    <w:uiPriority w:val="99"/>
    <w:semiHidden/>
    <w:unhideWhenUsed/>
    <w:rsid w:val="009A156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A156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56F"/>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156F"/>
    <w:pPr>
      <w:ind w:left="720"/>
      <w:contextualSpacing/>
    </w:pPr>
  </w:style>
  <w:style w:type="paragraph" w:styleId="a4">
    <w:name w:val="Balloon Text"/>
    <w:basedOn w:val="a"/>
    <w:link w:val="a5"/>
    <w:uiPriority w:val="99"/>
    <w:semiHidden/>
    <w:unhideWhenUsed/>
    <w:rsid w:val="009A156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A15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1642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2845</Words>
  <Characters>16223</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ZANEKONOMIKA</dc:creator>
  <cp:keywords/>
  <dc:description/>
  <cp:lastModifiedBy>Acer</cp:lastModifiedBy>
  <cp:revision>21</cp:revision>
  <dcterms:created xsi:type="dcterms:W3CDTF">2020-11-11T12:29:00Z</dcterms:created>
  <dcterms:modified xsi:type="dcterms:W3CDTF">2022-01-18T05:30:00Z</dcterms:modified>
</cp:coreProperties>
</file>